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BA0E5" w14:textId="2D5FB7E3" w:rsidR="007253DC" w:rsidRDefault="007253DC" w:rsidP="007253D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NÁVRH ZMĚNY STATUTU STATUTÁRNÍHO MĚSTA </w:t>
      </w:r>
      <w:proofErr w:type="gramStart"/>
      <w:r>
        <w:rPr>
          <w:b/>
          <w:bCs/>
          <w:u w:val="single"/>
        </w:rPr>
        <w:t xml:space="preserve">PARDUBICE - </w:t>
      </w:r>
      <w:r w:rsidR="00E07AA9" w:rsidRPr="00283CB5">
        <w:rPr>
          <w:b/>
          <w:bCs/>
          <w:u w:val="single"/>
        </w:rPr>
        <w:t>PODÍL</w:t>
      </w:r>
      <w:proofErr w:type="gramEnd"/>
      <w:r w:rsidR="00E07AA9" w:rsidRPr="00283CB5">
        <w:rPr>
          <w:b/>
          <w:bCs/>
          <w:u w:val="single"/>
        </w:rPr>
        <w:t xml:space="preserve"> Z ROZPOČTOVÉHO URČENÍ DANÍ A ŠKOLSTVÍ</w:t>
      </w:r>
    </w:p>
    <w:p w14:paraId="7F0699BF" w14:textId="77777777" w:rsidR="007253DC" w:rsidRDefault="007253DC" w:rsidP="007253DC">
      <w:pPr>
        <w:ind w:firstLine="708"/>
        <w:jc w:val="center"/>
        <w:rPr>
          <w:b/>
          <w:bCs/>
          <w:u w:val="single"/>
        </w:rPr>
      </w:pPr>
    </w:p>
    <w:p w14:paraId="21659B85" w14:textId="27F8634F" w:rsidR="008A6106" w:rsidRPr="00283CB5" w:rsidRDefault="003C1F1C" w:rsidP="007253D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DŮVODOVÁ ZPRÁVA</w:t>
      </w:r>
    </w:p>
    <w:p w14:paraId="7CC3199C" w14:textId="54F0B66E" w:rsidR="005B5DFC" w:rsidRPr="00D80059" w:rsidRDefault="009675CF" w:rsidP="005B5DFC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 xml:space="preserve">Na základě novely Zákona č. 561/2004 Sb., o předškolním, základním, středním, vyšším odborném a jiném vzdělávání (dále jen „školský zákon“) </w:t>
      </w:r>
      <w:r w:rsidR="00492534" w:rsidRPr="00D80059">
        <w:rPr>
          <w:sz w:val="22"/>
          <w:szCs w:val="22"/>
        </w:rPr>
        <w:t>a na základě novely Zákona č.</w:t>
      </w:r>
      <w:r w:rsidR="0094318C" w:rsidRPr="00D80059">
        <w:rPr>
          <w:sz w:val="22"/>
          <w:szCs w:val="22"/>
        </w:rPr>
        <w:t> </w:t>
      </w:r>
      <w:r w:rsidR="00492534" w:rsidRPr="00D80059">
        <w:rPr>
          <w:sz w:val="22"/>
          <w:szCs w:val="22"/>
        </w:rPr>
        <w:t xml:space="preserve">243/2000 Sb., </w:t>
      </w:r>
      <w:r w:rsidR="00167A9E" w:rsidRPr="00D80059">
        <w:rPr>
          <w:sz w:val="22"/>
          <w:szCs w:val="22"/>
        </w:rPr>
        <w:t>o rozpočtovém určení výnosů některých daní územním samosprávným celkům a některým státním fondům</w:t>
      </w:r>
      <w:r w:rsidR="00167A9E" w:rsidRPr="00D80059">
        <w:rPr>
          <w:i/>
          <w:iCs/>
          <w:sz w:val="22"/>
          <w:szCs w:val="22"/>
        </w:rPr>
        <w:t> </w:t>
      </w:r>
      <w:r w:rsidR="00492534" w:rsidRPr="00D80059">
        <w:rPr>
          <w:sz w:val="22"/>
          <w:szCs w:val="22"/>
        </w:rPr>
        <w:t xml:space="preserve">(dále jen „zákon o RUD“) </w:t>
      </w:r>
      <w:r w:rsidRPr="00D80059">
        <w:rPr>
          <w:sz w:val="22"/>
          <w:szCs w:val="22"/>
        </w:rPr>
        <w:t xml:space="preserve">dochází </w:t>
      </w:r>
      <w:r w:rsidR="002C59A9" w:rsidRPr="00D80059">
        <w:rPr>
          <w:sz w:val="22"/>
          <w:szCs w:val="22"/>
        </w:rPr>
        <w:t>s</w:t>
      </w:r>
      <w:r w:rsidRPr="00D80059">
        <w:rPr>
          <w:sz w:val="22"/>
          <w:szCs w:val="22"/>
        </w:rPr>
        <w:t> účinností od</w:t>
      </w:r>
      <w:r w:rsidR="00167A9E" w:rsidRPr="00D80059">
        <w:rPr>
          <w:sz w:val="22"/>
          <w:szCs w:val="22"/>
        </w:rPr>
        <w:t> </w:t>
      </w:r>
      <w:r w:rsidRPr="00D80059">
        <w:rPr>
          <w:sz w:val="22"/>
          <w:szCs w:val="22"/>
        </w:rPr>
        <w:t>1.</w:t>
      </w:r>
      <w:r w:rsidR="00167A9E" w:rsidRPr="00D80059">
        <w:rPr>
          <w:sz w:val="22"/>
          <w:szCs w:val="22"/>
        </w:rPr>
        <w:t> </w:t>
      </w:r>
      <w:r w:rsidRPr="00D80059">
        <w:rPr>
          <w:sz w:val="22"/>
          <w:szCs w:val="22"/>
        </w:rPr>
        <w:t>1.</w:t>
      </w:r>
      <w:r w:rsidR="00167A9E" w:rsidRPr="00D80059">
        <w:rPr>
          <w:sz w:val="22"/>
          <w:szCs w:val="22"/>
        </w:rPr>
        <w:t> </w:t>
      </w:r>
      <w:r w:rsidRPr="00D80059">
        <w:rPr>
          <w:sz w:val="22"/>
          <w:szCs w:val="22"/>
        </w:rPr>
        <w:t xml:space="preserve">2026 ke změně </w:t>
      </w:r>
      <w:r w:rsidR="00522D51" w:rsidRPr="00D80059">
        <w:rPr>
          <w:sz w:val="22"/>
          <w:szCs w:val="22"/>
        </w:rPr>
        <w:t xml:space="preserve">kompetence ve financování </w:t>
      </w:r>
      <w:r w:rsidRPr="00D80059">
        <w:rPr>
          <w:sz w:val="22"/>
          <w:szCs w:val="22"/>
        </w:rPr>
        <w:t>nepedagogických pracovníků</w:t>
      </w:r>
      <w:r w:rsidR="00FE01AF">
        <w:rPr>
          <w:sz w:val="22"/>
          <w:szCs w:val="22"/>
        </w:rPr>
        <w:t xml:space="preserve"> (platy školníků, kuchařek, vedoucích školních jídelen, uklízeček a dalších provozních zaměstnanců</w:t>
      </w:r>
      <w:r w:rsidR="006B2629">
        <w:rPr>
          <w:sz w:val="22"/>
          <w:szCs w:val="22"/>
        </w:rPr>
        <w:t>)</w:t>
      </w:r>
      <w:r w:rsidRPr="00D80059">
        <w:rPr>
          <w:sz w:val="22"/>
          <w:szCs w:val="22"/>
        </w:rPr>
        <w:t xml:space="preserve"> </w:t>
      </w:r>
      <w:r w:rsidR="0094318C" w:rsidRPr="00D80059">
        <w:rPr>
          <w:sz w:val="22"/>
          <w:szCs w:val="22"/>
        </w:rPr>
        <w:t xml:space="preserve">(dále jen </w:t>
      </w:r>
      <w:r w:rsidR="00167A9E" w:rsidRPr="00D80059">
        <w:rPr>
          <w:sz w:val="22"/>
          <w:szCs w:val="22"/>
        </w:rPr>
        <w:t>„</w:t>
      </w:r>
      <w:r w:rsidR="0094318C" w:rsidRPr="00D80059">
        <w:rPr>
          <w:sz w:val="22"/>
          <w:szCs w:val="22"/>
        </w:rPr>
        <w:t>NPP“</w:t>
      </w:r>
      <w:r w:rsidR="00167A9E" w:rsidRPr="00D80059">
        <w:rPr>
          <w:sz w:val="22"/>
          <w:szCs w:val="22"/>
        </w:rPr>
        <w:t>)</w:t>
      </w:r>
      <w:r w:rsidR="0094318C" w:rsidRPr="00D80059">
        <w:rPr>
          <w:sz w:val="22"/>
          <w:szCs w:val="22"/>
        </w:rPr>
        <w:t xml:space="preserve"> </w:t>
      </w:r>
      <w:r w:rsidR="00522D51" w:rsidRPr="00D80059">
        <w:rPr>
          <w:sz w:val="22"/>
          <w:szCs w:val="22"/>
        </w:rPr>
        <w:t xml:space="preserve">a části </w:t>
      </w:r>
      <w:r w:rsidR="0094318C" w:rsidRPr="00D80059">
        <w:rPr>
          <w:sz w:val="22"/>
          <w:szCs w:val="22"/>
        </w:rPr>
        <w:t>ostatních neinvestičních výdajů (dále jen „</w:t>
      </w:r>
      <w:r w:rsidR="00522D51" w:rsidRPr="00D80059">
        <w:rPr>
          <w:sz w:val="22"/>
          <w:szCs w:val="22"/>
        </w:rPr>
        <w:t>ONIV</w:t>
      </w:r>
      <w:r w:rsidR="0094318C" w:rsidRPr="00D80059">
        <w:rPr>
          <w:sz w:val="22"/>
          <w:szCs w:val="22"/>
        </w:rPr>
        <w:t>“)</w:t>
      </w:r>
      <w:r w:rsidR="00FE01AF">
        <w:rPr>
          <w:sz w:val="22"/>
          <w:szCs w:val="22"/>
        </w:rPr>
        <w:t xml:space="preserve"> (náklady spojené se vzděláváním pedagogických</w:t>
      </w:r>
      <w:r w:rsidR="006B2629">
        <w:rPr>
          <w:sz w:val="22"/>
          <w:szCs w:val="22"/>
        </w:rPr>
        <w:t xml:space="preserve"> i nepedagogických</w:t>
      </w:r>
      <w:r w:rsidR="00FE01AF">
        <w:rPr>
          <w:sz w:val="22"/>
          <w:szCs w:val="22"/>
        </w:rPr>
        <w:t xml:space="preserve"> pracovníků, školní pomůcky</w:t>
      </w:r>
      <w:r w:rsidR="006B2629">
        <w:rPr>
          <w:sz w:val="22"/>
          <w:szCs w:val="22"/>
        </w:rPr>
        <w:t xml:space="preserve">, učebnice, podporná opatření žáků vyžadujících speciální potřeby </w:t>
      </w:r>
      <w:r w:rsidR="00FE01AF">
        <w:rPr>
          <w:sz w:val="22"/>
          <w:szCs w:val="22"/>
        </w:rPr>
        <w:t>atd.)</w:t>
      </w:r>
      <w:r w:rsidR="00167A9E" w:rsidRPr="00D80059">
        <w:rPr>
          <w:sz w:val="22"/>
          <w:szCs w:val="22"/>
        </w:rPr>
        <w:t xml:space="preserve">. </w:t>
      </w:r>
      <w:r w:rsidR="00CA0E52" w:rsidRPr="00D80059">
        <w:rPr>
          <w:sz w:val="22"/>
          <w:szCs w:val="22"/>
        </w:rPr>
        <w:t xml:space="preserve"> </w:t>
      </w:r>
      <w:r w:rsidR="005B5DFC" w:rsidRPr="00D80059">
        <w:rPr>
          <w:sz w:val="22"/>
          <w:szCs w:val="22"/>
        </w:rPr>
        <w:t xml:space="preserve">Kompenzací za převzetí odpovědnosti pro zřizovatele škol je dle novely zákona o RUD zvýšení podílů obcí a krajů na sdílených daních, kdy podíl obcí na celostátním výnosu sdílených daní vzroste od 1. 1. 2026 z dosavadních 24,16 % na 25,93 %. Dle novely zákona o RUD se od 1. 1. 2026 navýší také školský koeficient z 9 % na 15,15 %, který má vliv na výpočet procenta, kterým se město Pardubice podílí na celostátních výnosech daní a které bude stanoveno vyhláškou Ministerstva financí ČR o procentním podílu jednotlivých obcí na částech celostátního hrubého výnosu daně z přidané hodnoty a daní z příjmů s účinností od 1. 1. 2026. </w:t>
      </w:r>
      <w:r w:rsidR="005B5DFC">
        <w:rPr>
          <w:sz w:val="22"/>
          <w:szCs w:val="22"/>
        </w:rPr>
        <w:t xml:space="preserve">V této souvislosti je třeba však upozornit, že ostatní koeficienty </w:t>
      </w:r>
      <w:r w:rsidR="0056151C">
        <w:rPr>
          <w:sz w:val="22"/>
          <w:szCs w:val="22"/>
        </w:rPr>
        <w:t xml:space="preserve">(počet obyvatel, katastrální území a postupné přechody) </w:t>
      </w:r>
      <w:r w:rsidR="005B5DFC">
        <w:rPr>
          <w:sz w:val="22"/>
          <w:szCs w:val="22"/>
        </w:rPr>
        <w:t>tvořící příjem z RUD fakticky poklesly.</w:t>
      </w:r>
      <w:r w:rsidR="006B2629">
        <w:rPr>
          <w:sz w:val="22"/>
          <w:szCs w:val="22"/>
        </w:rPr>
        <w:t xml:space="preserve"> </w:t>
      </w:r>
      <w:r w:rsidR="006B2629" w:rsidRPr="00D80059">
        <w:rPr>
          <w:sz w:val="22"/>
          <w:szCs w:val="22"/>
        </w:rPr>
        <w:t>Na základě predikce celostátních výnosů daní, kterou Ministerstvo financí ČR zveřejnilo v září 2025, se očekává, že se díky úpravám RUD provedeným za účelem kompenzace změn ve financování nepedagogických pracovníků a ONIV, se příjem statutárního města Pardubice od 1. 1. 2026 zvýší přibližně o 225 mil. Kč.</w:t>
      </w:r>
    </w:p>
    <w:p w14:paraId="5F526308" w14:textId="7A5D5B5E" w:rsidR="00CA0E52" w:rsidRPr="00D80059" w:rsidRDefault="00431ED4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>Dle novely školského zákona přechází odpovědnost za financování NPP a části ONIV ze státu na zřizovatele škol</w:t>
      </w:r>
      <w:r w:rsidR="006B2629">
        <w:rPr>
          <w:sz w:val="22"/>
          <w:szCs w:val="22"/>
        </w:rPr>
        <w:t xml:space="preserve"> a školských zařízení (18 ZŠ, 31 MŠ, 2 DDM a 2 ZUŠ)</w:t>
      </w:r>
      <w:r w:rsidR="00FE01AF">
        <w:rPr>
          <w:sz w:val="22"/>
          <w:szCs w:val="22"/>
        </w:rPr>
        <w:t xml:space="preserve">, </w:t>
      </w:r>
      <w:r w:rsidR="00FE01AF" w:rsidRPr="006B2629">
        <w:rPr>
          <w:b/>
          <w:bCs/>
          <w:sz w:val="22"/>
          <w:szCs w:val="22"/>
        </w:rPr>
        <w:t xml:space="preserve">tedy v případě Pardubic na </w:t>
      </w:r>
      <w:r w:rsidR="006B2629">
        <w:rPr>
          <w:b/>
          <w:bCs/>
          <w:sz w:val="22"/>
          <w:szCs w:val="22"/>
        </w:rPr>
        <w:t>statutární město Pardubice</w:t>
      </w:r>
      <w:r w:rsidRPr="006B2629">
        <w:rPr>
          <w:b/>
          <w:bCs/>
          <w:sz w:val="22"/>
          <w:szCs w:val="22"/>
        </w:rPr>
        <w:t>.</w:t>
      </w:r>
      <w:r w:rsidRPr="00D80059">
        <w:rPr>
          <w:sz w:val="22"/>
          <w:szCs w:val="22"/>
        </w:rPr>
        <w:t xml:space="preserve"> </w:t>
      </w:r>
      <w:r w:rsidR="00CA0E52" w:rsidRPr="00D80059">
        <w:rPr>
          <w:sz w:val="22"/>
          <w:szCs w:val="22"/>
        </w:rPr>
        <w:t>Pro rozpočet města to znamená dodatečné výdaje, které jsou pro rok 2026 kalkulovány ve výši 2</w:t>
      </w:r>
      <w:r w:rsidR="005B5DFC">
        <w:rPr>
          <w:sz w:val="22"/>
          <w:szCs w:val="22"/>
        </w:rPr>
        <w:t>80</w:t>
      </w:r>
      <w:r w:rsidR="00CA0E52" w:rsidRPr="00D80059">
        <w:rPr>
          <w:sz w:val="22"/>
          <w:szCs w:val="22"/>
        </w:rPr>
        <w:t xml:space="preserve"> mil</w:t>
      </w:r>
      <w:r w:rsidR="00052E8B" w:rsidRPr="00D80059">
        <w:rPr>
          <w:sz w:val="22"/>
          <w:szCs w:val="22"/>
        </w:rPr>
        <w:t>. Kč</w:t>
      </w:r>
      <w:r w:rsidR="00CA0E52" w:rsidRPr="00D80059">
        <w:rPr>
          <w:sz w:val="22"/>
          <w:szCs w:val="22"/>
        </w:rPr>
        <w:t>.</w:t>
      </w:r>
      <w:r w:rsidR="005B5DFC">
        <w:rPr>
          <w:sz w:val="22"/>
          <w:szCs w:val="22"/>
        </w:rPr>
        <w:t xml:space="preserve"> Navýšení RUD pro školství ve výši 225 milionů korun na NPP a ONIV bohužel dostatečně nepokrývá potřeby na zajištění nově předané kompetence na město. </w:t>
      </w:r>
      <w:r w:rsidR="002E3B3A" w:rsidRPr="00D80059">
        <w:rPr>
          <w:sz w:val="22"/>
          <w:szCs w:val="22"/>
        </w:rPr>
        <w:t xml:space="preserve"> Celkové běžné výdaje v oblasti školství tak v roce 2026 dosáhnou částky </w:t>
      </w:r>
      <w:r w:rsidR="002E3B3A" w:rsidRPr="00D80059">
        <w:rPr>
          <w:rStyle w:val="Siln"/>
          <w:b w:val="0"/>
          <w:bCs w:val="0"/>
          <w:sz w:val="22"/>
          <w:szCs w:val="22"/>
        </w:rPr>
        <w:t>496,6 mil. Kč</w:t>
      </w:r>
      <w:r w:rsidR="002E3B3A" w:rsidRPr="00D80059">
        <w:rPr>
          <w:b/>
          <w:bCs/>
          <w:sz w:val="22"/>
          <w:szCs w:val="22"/>
        </w:rPr>
        <w:t>.</w:t>
      </w:r>
      <w:r w:rsidR="00AB1C42" w:rsidRPr="00D80059">
        <w:rPr>
          <w:sz w:val="22"/>
          <w:szCs w:val="22"/>
        </w:rPr>
        <w:t xml:space="preserve"> Dalších 109,2 mil</w:t>
      </w:r>
      <w:r w:rsidR="00052E8B" w:rsidRPr="00D80059">
        <w:rPr>
          <w:sz w:val="22"/>
          <w:szCs w:val="22"/>
        </w:rPr>
        <w:t>. Kč</w:t>
      </w:r>
      <w:r w:rsidR="00AB1C42" w:rsidRPr="00D80059">
        <w:rPr>
          <w:sz w:val="22"/>
          <w:szCs w:val="22"/>
        </w:rPr>
        <w:t xml:space="preserve"> bude směřovat </w:t>
      </w:r>
      <w:r w:rsidR="002E3B3A" w:rsidRPr="00D80059">
        <w:rPr>
          <w:sz w:val="22"/>
          <w:szCs w:val="22"/>
        </w:rPr>
        <w:t>na</w:t>
      </w:r>
      <w:r w:rsidR="00FE01AF">
        <w:rPr>
          <w:sz w:val="22"/>
          <w:szCs w:val="22"/>
        </w:rPr>
        <w:t xml:space="preserve"> nutné opravy, a každoroční běžné</w:t>
      </w:r>
      <w:r w:rsidR="00AB1C42" w:rsidRPr="00D80059">
        <w:rPr>
          <w:sz w:val="22"/>
          <w:szCs w:val="22"/>
        </w:rPr>
        <w:t xml:space="preserve"> investic</w:t>
      </w:r>
      <w:r w:rsidR="002E3B3A" w:rsidRPr="00D80059">
        <w:rPr>
          <w:sz w:val="22"/>
          <w:szCs w:val="22"/>
        </w:rPr>
        <w:t>e</w:t>
      </w:r>
      <w:r w:rsidR="00AB1C42" w:rsidRPr="00D80059">
        <w:rPr>
          <w:sz w:val="22"/>
          <w:szCs w:val="22"/>
        </w:rPr>
        <w:t xml:space="preserve"> do školských zařízení. Celkem je tak v rozpočtu na rok 2026 počítáno s výdaji do oblasti školství s celkovou částkou 605,8</w:t>
      </w:r>
      <w:r w:rsidR="00D17078" w:rsidRPr="00D80059">
        <w:rPr>
          <w:sz w:val="22"/>
          <w:szCs w:val="22"/>
        </w:rPr>
        <w:t xml:space="preserve"> </w:t>
      </w:r>
      <w:r w:rsidR="00AB1C42" w:rsidRPr="00D80059">
        <w:rPr>
          <w:sz w:val="22"/>
          <w:szCs w:val="22"/>
        </w:rPr>
        <w:t>mil</w:t>
      </w:r>
      <w:r w:rsidR="00052E8B" w:rsidRPr="00D80059">
        <w:rPr>
          <w:sz w:val="22"/>
          <w:szCs w:val="22"/>
        </w:rPr>
        <w:t>. Kč</w:t>
      </w:r>
      <w:r w:rsidR="00D17078" w:rsidRPr="00D80059">
        <w:rPr>
          <w:sz w:val="22"/>
          <w:szCs w:val="22"/>
        </w:rPr>
        <w:t xml:space="preserve">, přičemž </w:t>
      </w:r>
      <w:r w:rsidR="007B0239" w:rsidRPr="00D80059">
        <w:rPr>
          <w:sz w:val="22"/>
          <w:szCs w:val="22"/>
        </w:rPr>
        <w:t xml:space="preserve">výstavba </w:t>
      </w:r>
      <w:r w:rsidR="00D17078" w:rsidRPr="00D80059">
        <w:rPr>
          <w:sz w:val="22"/>
          <w:szCs w:val="22"/>
        </w:rPr>
        <w:t>ZŠ</w:t>
      </w:r>
      <w:r w:rsidR="00AB1C42" w:rsidRPr="00D80059">
        <w:rPr>
          <w:sz w:val="22"/>
          <w:szCs w:val="22"/>
        </w:rPr>
        <w:t xml:space="preserve"> TGM</w:t>
      </w:r>
      <w:r w:rsidR="00FE01AF">
        <w:rPr>
          <w:sz w:val="22"/>
          <w:szCs w:val="22"/>
        </w:rPr>
        <w:t xml:space="preserve"> jako klíčový školský infrastrukturní projekt za téměř 1 miliardu korun</w:t>
      </w:r>
      <w:r w:rsidR="00AB1C42" w:rsidRPr="00D80059">
        <w:rPr>
          <w:sz w:val="22"/>
          <w:szCs w:val="22"/>
        </w:rPr>
        <w:t xml:space="preserve">, jakožto jednorázová </w:t>
      </w:r>
      <w:r w:rsidR="007B0239" w:rsidRPr="00D80059">
        <w:rPr>
          <w:sz w:val="22"/>
          <w:szCs w:val="22"/>
        </w:rPr>
        <w:t xml:space="preserve">významná </w:t>
      </w:r>
      <w:r w:rsidR="00AB1C42" w:rsidRPr="00D80059">
        <w:rPr>
          <w:sz w:val="22"/>
          <w:szCs w:val="22"/>
        </w:rPr>
        <w:t>investice, není</w:t>
      </w:r>
      <w:r w:rsidR="005B5DFC">
        <w:rPr>
          <w:sz w:val="22"/>
          <w:szCs w:val="22"/>
        </w:rPr>
        <w:t xml:space="preserve"> do tohoto propočtu</w:t>
      </w:r>
      <w:r w:rsidR="00AB1C42" w:rsidRPr="00D80059">
        <w:rPr>
          <w:sz w:val="22"/>
          <w:szCs w:val="22"/>
        </w:rPr>
        <w:t xml:space="preserve"> zahrnuta. </w:t>
      </w:r>
    </w:p>
    <w:p w14:paraId="76981A01" w14:textId="3AAE84DC" w:rsidR="0054553D" w:rsidRPr="00D80059" w:rsidRDefault="00052E8B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>Na základě novelizovaného zákona o rozpočtovém určení daní bude</w:t>
      </w:r>
      <w:r w:rsidR="00235C2C">
        <w:rPr>
          <w:sz w:val="22"/>
          <w:szCs w:val="22"/>
        </w:rPr>
        <w:t xml:space="preserve"> podle predikce</w:t>
      </w:r>
      <w:r w:rsidRPr="00D80059">
        <w:rPr>
          <w:sz w:val="22"/>
          <w:szCs w:val="22"/>
        </w:rPr>
        <w:t xml:space="preserve"> do oblasti školství prostřednictvím tzv. školského koeficientu přiděleno celkem 498 </w:t>
      </w:r>
      <w:r w:rsidR="006B2629">
        <w:rPr>
          <w:sz w:val="22"/>
          <w:szCs w:val="22"/>
        </w:rPr>
        <w:t xml:space="preserve">milionů korun – podrobněji viz příloha – kalkulačka Ministerstva </w:t>
      </w:r>
      <w:r w:rsidR="00E726E6">
        <w:rPr>
          <w:sz w:val="22"/>
          <w:szCs w:val="22"/>
        </w:rPr>
        <w:t>školství, mládeže a tělovýchovy</w:t>
      </w:r>
      <w:r w:rsidR="006B2629">
        <w:rPr>
          <w:sz w:val="22"/>
          <w:szCs w:val="22"/>
        </w:rPr>
        <w:t xml:space="preserve"> – školský koeficient</w:t>
      </w:r>
      <w:r w:rsidRPr="00D80059">
        <w:rPr>
          <w:sz w:val="22"/>
          <w:szCs w:val="22"/>
        </w:rPr>
        <w:t xml:space="preserve">. Tato částka zahrnuje prostředky určené na nepedagogické pracovníky a ONIV. </w:t>
      </w:r>
      <w:r w:rsidR="0054553D" w:rsidRPr="00D80059">
        <w:rPr>
          <w:sz w:val="22"/>
          <w:szCs w:val="22"/>
        </w:rPr>
        <w:t>Část těchto finančních prostředků</w:t>
      </w:r>
      <w:r w:rsidR="00235C2C">
        <w:rPr>
          <w:sz w:val="22"/>
          <w:szCs w:val="22"/>
        </w:rPr>
        <w:t xml:space="preserve"> </w:t>
      </w:r>
      <w:r w:rsidR="00F71754" w:rsidRPr="00D80059">
        <w:rPr>
          <w:sz w:val="22"/>
          <w:szCs w:val="22"/>
        </w:rPr>
        <w:t>by měl</w:t>
      </w:r>
      <w:r w:rsidR="00DC436A" w:rsidRPr="00D80059">
        <w:rPr>
          <w:sz w:val="22"/>
          <w:szCs w:val="22"/>
        </w:rPr>
        <w:t>a</w:t>
      </w:r>
      <w:r w:rsidR="00F71754" w:rsidRPr="00D80059">
        <w:rPr>
          <w:sz w:val="22"/>
          <w:szCs w:val="22"/>
        </w:rPr>
        <w:t xml:space="preserve"> být</w:t>
      </w:r>
      <w:r w:rsidR="0054553D" w:rsidRPr="00D80059">
        <w:rPr>
          <w:sz w:val="22"/>
          <w:szCs w:val="22"/>
        </w:rPr>
        <w:t xml:space="preserve"> v souladu se </w:t>
      </w:r>
      <w:r w:rsidR="00927567" w:rsidRPr="00D80059">
        <w:rPr>
          <w:sz w:val="22"/>
          <w:szCs w:val="22"/>
        </w:rPr>
        <w:t xml:space="preserve">stávajícím </w:t>
      </w:r>
      <w:r w:rsidR="0054553D" w:rsidRPr="00D80059">
        <w:rPr>
          <w:sz w:val="22"/>
          <w:szCs w:val="22"/>
        </w:rPr>
        <w:t xml:space="preserve">Statutem města Pardubic </w:t>
      </w:r>
      <w:r w:rsidR="00DC436A" w:rsidRPr="00D80059">
        <w:rPr>
          <w:sz w:val="22"/>
          <w:szCs w:val="22"/>
        </w:rPr>
        <w:t xml:space="preserve">dále </w:t>
      </w:r>
      <w:r w:rsidR="0054553D" w:rsidRPr="00D80059">
        <w:rPr>
          <w:sz w:val="22"/>
          <w:szCs w:val="22"/>
        </w:rPr>
        <w:t>přerozdělena do rozpočtů jednotlivých městských obvodů</w:t>
      </w:r>
      <w:r w:rsidR="000E7ECD" w:rsidRPr="00D80059">
        <w:rPr>
          <w:sz w:val="22"/>
          <w:szCs w:val="22"/>
        </w:rPr>
        <w:t xml:space="preserve"> a nemůže </w:t>
      </w:r>
      <w:r w:rsidR="00740D48" w:rsidRPr="00D80059">
        <w:rPr>
          <w:sz w:val="22"/>
          <w:szCs w:val="22"/>
        </w:rPr>
        <w:t xml:space="preserve">tak </w:t>
      </w:r>
      <w:r w:rsidR="000E7ECD" w:rsidRPr="00D80059">
        <w:rPr>
          <w:sz w:val="22"/>
          <w:szCs w:val="22"/>
        </w:rPr>
        <w:t>být využita v oblasti školství</w:t>
      </w:r>
      <w:r w:rsidR="0054553D" w:rsidRPr="00D80059">
        <w:rPr>
          <w:sz w:val="22"/>
          <w:szCs w:val="22"/>
        </w:rPr>
        <w:t>.</w:t>
      </w:r>
    </w:p>
    <w:p w14:paraId="18F98E23" w14:textId="7B8C43D3" w:rsidR="00927567" w:rsidRPr="007D0379" w:rsidRDefault="00740D48" w:rsidP="009675CF">
      <w:pPr>
        <w:jc w:val="both"/>
        <w:rPr>
          <w:b/>
          <w:bCs/>
          <w:sz w:val="22"/>
          <w:szCs w:val="22"/>
        </w:rPr>
      </w:pPr>
      <w:r w:rsidRPr="007D0379">
        <w:rPr>
          <w:b/>
          <w:bCs/>
          <w:sz w:val="22"/>
          <w:szCs w:val="22"/>
        </w:rPr>
        <w:lastRenderedPageBreak/>
        <w:t xml:space="preserve">S ohledem na výše uvedené skutečnosti je navržena úprava koeficientů pro </w:t>
      </w:r>
      <w:r w:rsidR="00DC436A" w:rsidRPr="007D0379">
        <w:rPr>
          <w:b/>
          <w:bCs/>
          <w:sz w:val="22"/>
          <w:szCs w:val="22"/>
        </w:rPr>
        <w:t xml:space="preserve">jednotlivé městské obvody </w:t>
      </w:r>
      <w:r w:rsidR="00087223" w:rsidRPr="007D0379">
        <w:rPr>
          <w:b/>
          <w:bCs/>
          <w:sz w:val="22"/>
          <w:szCs w:val="22"/>
        </w:rPr>
        <w:t xml:space="preserve">v </w:t>
      </w:r>
      <w:r w:rsidR="00B97C01" w:rsidRPr="007D0379">
        <w:rPr>
          <w:b/>
          <w:bCs/>
          <w:sz w:val="22"/>
          <w:szCs w:val="22"/>
        </w:rPr>
        <w:t>P</w:t>
      </w:r>
      <w:r w:rsidRPr="007D0379">
        <w:rPr>
          <w:b/>
          <w:bCs/>
          <w:sz w:val="22"/>
          <w:szCs w:val="22"/>
        </w:rPr>
        <w:t>řílo</w:t>
      </w:r>
      <w:r w:rsidR="00087223" w:rsidRPr="007D0379">
        <w:rPr>
          <w:b/>
          <w:bCs/>
          <w:sz w:val="22"/>
          <w:szCs w:val="22"/>
        </w:rPr>
        <w:t>ze</w:t>
      </w:r>
      <w:r w:rsidRPr="007D0379">
        <w:rPr>
          <w:b/>
          <w:bCs/>
          <w:sz w:val="22"/>
          <w:szCs w:val="22"/>
        </w:rPr>
        <w:t xml:space="preserve"> </w:t>
      </w:r>
      <w:r w:rsidR="00DC436A" w:rsidRPr="007D0379">
        <w:rPr>
          <w:b/>
          <w:bCs/>
          <w:sz w:val="22"/>
          <w:szCs w:val="22"/>
        </w:rPr>
        <w:t xml:space="preserve">č. </w:t>
      </w:r>
      <w:r w:rsidRPr="007D0379">
        <w:rPr>
          <w:b/>
          <w:bCs/>
          <w:sz w:val="22"/>
          <w:szCs w:val="22"/>
        </w:rPr>
        <w:t>3</w:t>
      </w:r>
      <w:r w:rsidR="00087223" w:rsidRPr="007D0379">
        <w:rPr>
          <w:b/>
          <w:bCs/>
          <w:sz w:val="22"/>
          <w:szCs w:val="22"/>
        </w:rPr>
        <w:t xml:space="preserve"> (</w:t>
      </w:r>
      <w:r w:rsidR="00FF5C6A" w:rsidRPr="007D0379">
        <w:rPr>
          <w:b/>
          <w:bCs/>
          <w:sz w:val="22"/>
          <w:szCs w:val="22"/>
        </w:rPr>
        <w:t xml:space="preserve">odst. 2 </w:t>
      </w:r>
      <w:r w:rsidR="00087223" w:rsidRPr="007D0379">
        <w:rPr>
          <w:b/>
          <w:bCs/>
          <w:sz w:val="22"/>
          <w:szCs w:val="22"/>
        </w:rPr>
        <w:t xml:space="preserve">písmena h), i) a j)) </w:t>
      </w:r>
      <w:r w:rsidR="00DC436A" w:rsidRPr="007D0379">
        <w:rPr>
          <w:b/>
          <w:bCs/>
          <w:sz w:val="22"/>
          <w:szCs w:val="22"/>
        </w:rPr>
        <w:t xml:space="preserve">Statutu města Pardubic </w:t>
      </w:r>
      <w:r w:rsidRPr="007D0379">
        <w:rPr>
          <w:b/>
          <w:bCs/>
          <w:sz w:val="22"/>
          <w:szCs w:val="22"/>
        </w:rPr>
        <w:t xml:space="preserve">tak, aby </w:t>
      </w:r>
      <w:r w:rsidR="006B2629" w:rsidRPr="007D0379">
        <w:rPr>
          <w:b/>
          <w:bCs/>
          <w:sz w:val="22"/>
          <w:szCs w:val="22"/>
        </w:rPr>
        <w:t xml:space="preserve">celý </w:t>
      </w:r>
      <w:r w:rsidRPr="007D0379">
        <w:rPr>
          <w:b/>
          <w:bCs/>
          <w:sz w:val="22"/>
          <w:szCs w:val="22"/>
        </w:rPr>
        <w:t>podíl dle zákona o RUD</w:t>
      </w:r>
      <w:r w:rsidR="00927567" w:rsidRPr="007D0379">
        <w:rPr>
          <w:b/>
          <w:bCs/>
          <w:sz w:val="22"/>
          <w:szCs w:val="22"/>
        </w:rPr>
        <w:t xml:space="preserve"> </w:t>
      </w:r>
      <w:r w:rsidRPr="007D0379">
        <w:rPr>
          <w:b/>
          <w:bCs/>
          <w:sz w:val="22"/>
          <w:szCs w:val="22"/>
        </w:rPr>
        <w:t>dle školského koeficientu zůstal plně disponibilní pro rozpočet města Pardubice</w:t>
      </w:r>
      <w:r w:rsidR="006B2629" w:rsidRPr="007D0379">
        <w:rPr>
          <w:b/>
          <w:bCs/>
          <w:sz w:val="22"/>
          <w:szCs w:val="22"/>
        </w:rPr>
        <w:t xml:space="preserve"> a podíl na těchto predikovaných daňových příjme</w:t>
      </w:r>
      <w:r w:rsidR="007D0379" w:rsidRPr="007D0379">
        <w:rPr>
          <w:b/>
          <w:bCs/>
          <w:sz w:val="22"/>
          <w:szCs w:val="22"/>
        </w:rPr>
        <w:t>ch</w:t>
      </w:r>
      <w:r w:rsidR="006B2629" w:rsidRPr="007D0379">
        <w:rPr>
          <w:b/>
          <w:bCs/>
          <w:sz w:val="22"/>
          <w:szCs w:val="22"/>
        </w:rPr>
        <w:t xml:space="preserve"> mohl výhradně a plně použít zřizovatel, kterým je město Pardubice, na provoz, platy a související odvody nepedagogických pracovníků, ONIV, běžn</w:t>
      </w:r>
      <w:r w:rsidR="002553F0">
        <w:rPr>
          <w:b/>
          <w:bCs/>
          <w:sz w:val="22"/>
          <w:szCs w:val="22"/>
        </w:rPr>
        <w:t>ou</w:t>
      </w:r>
      <w:r w:rsidR="006B2629" w:rsidRPr="007D0379">
        <w:rPr>
          <w:b/>
          <w:bCs/>
          <w:sz w:val="22"/>
          <w:szCs w:val="22"/>
        </w:rPr>
        <w:t xml:space="preserve"> údržb</w:t>
      </w:r>
      <w:r w:rsidR="002553F0">
        <w:rPr>
          <w:b/>
          <w:bCs/>
          <w:sz w:val="22"/>
          <w:szCs w:val="22"/>
        </w:rPr>
        <w:t>u</w:t>
      </w:r>
      <w:r w:rsidR="006B2629" w:rsidRPr="007D0379">
        <w:rPr>
          <w:b/>
          <w:bCs/>
          <w:sz w:val="22"/>
          <w:szCs w:val="22"/>
        </w:rPr>
        <w:t xml:space="preserve"> a průběžn</w:t>
      </w:r>
      <w:r w:rsidR="002553F0">
        <w:rPr>
          <w:b/>
          <w:bCs/>
          <w:sz w:val="22"/>
          <w:szCs w:val="22"/>
        </w:rPr>
        <w:t>é</w:t>
      </w:r>
      <w:r w:rsidR="006B2629" w:rsidRPr="007D0379">
        <w:rPr>
          <w:b/>
          <w:bCs/>
          <w:sz w:val="22"/>
          <w:szCs w:val="22"/>
        </w:rPr>
        <w:t xml:space="preserve"> oprav</w:t>
      </w:r>
      <w:r w:rsidR="002553F0">
        <w:rPr>
          <w:b/>
          <w:bCs/>
          <w:sz w:val="22"/>
          <w:szCs w:val="22"/>
        </w:rPr>
        <w:t>y</w:t>
      </w:r>
      <w:r w:rsidR="006B2629" w:rsidRPr="007D0379">
        <w:rPr>
          <w:b/>
          <w:bCs/>
          <w:sz w:val="22"/>
          <w:szCs w:val="22"/>
        </w:rPr>
        <w:t xml:space="preserve"> a investic</w:t>
      </w:r>
      <w:r w:rsidR="002553F0">
        <w:rPr>
          <w:b/>
          <w:bCs/>
          <w:sz w:val="22"/>
          <w:szCs w:val="22"/>
        </w:rPr>
        <w:t>e do</w:t>
      </w:r>
      <w:r w:rsidR="006B2629" w:rsidRPr="007D0379">
        <w:rPr>
          <w:b/>
          <w:bCs/>
          <w:sz w:val="22"/>
          <w:szCs w:val="22"/>
        </w:rPr>
        <w:t xml:space="preserve"> školského majetku, energie, teplo a odpisy majetku</w:t>
      </w:r>
      <w:r w:rsidRPr="007D0379">
        <w:rPr>
          <w:b/>
          <w:bCs/>
          <w:sz w:val="22"/>
          <w:szCs w:val="22"/>
        </w:rPr>
        <w:t>.</w:t>
      </w:r>
      <w:r w:rsidR="006D7787">
        <w:rPr>
          <w:b/>
          <w:bCs/>
          <w:sz w:val="22"/>
          <w:szCs w:val="22"/>
        </w:rPr>
        <w:t xml:space="preserve"> Takový postup pokládá vedení města za věcně logický a zároveň objektivně spravedlivý.</w:t>
      </w:r>
    </w:p>
    <w:p w14:paraId="11B1EEB7" w14:textId="69BCE9D3" w:rsidR="00CA1B04" w:rsidRDefault="00CA1B04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 xml:space="preserve">V případě, že městské obvody nebudou mít podíl na financování školství, bude </w:t>
      </w:r>
      <w:r w:rsidR="00E15EDF" w:rsidRPr="00D80059">
        <w:rPr>
          <w:sz w:val="22"/>
          <w:szCs w:val="22"/>
        </w:rPr>
        <w:t xml:space="preserve">podíl na výnosech daní </w:t>
      </w:r>
      <w:r w:rsidRPr="00D80059">
        <w:rPr>
          <w:sz w:val="22"/>
          <w:szCs w:val="22"/>
        </w:rPr>
        <w:t xml:space="preserve">městských obvodů </w:t>
      </w:r>
      <w:r w:rsidR="00E15EDF" w:rsidRPr="00D80059">
        <w:rPr>
          <w:sz w:val="22"/>
          <w:szCs w:val="22"/>
        </w:rPr>
        <w:t>v roce 2026 v porovnání s rokem 2025 snížen o 2</w:t>
      </w:r>
      <w:r w:rsidR="002B768A" w:rsidRPr="00D80059">
        <w:rPr>
          <w:sz w:val="22"/>
          <w:szCs w:val="22"/>
        </w:rPr>
        <w:t>5</w:t>
      </w:r>
      <w:r w:rsidR="00E15EDF" w:rsidRPr="00D80059">
        <w:rPr>
          <w:sz w:val="22"/>
          <w:szCs w:val="22"/>
        </w:rPr>
        <w:t xml:space="preserve"> mil. Kč</w:t>
      </w:r>
      <w:r w:rsidR="0056151C">
        <w:rPr>
          <w:sz w:val="22"/>
          <w:szCs w:val="22"/>
        </w:rPr>
        <w:t>, tedy o 6,4 %</w:t>
      </w:r>
      <w:r w:rsidR="00E15EDF" w:rsidRPr="00D80059">
        <w:rPr>
          <w:sz w:val="22"/>
          <w:szCs w:val="22"/>
        </w:rPr>
        <w:t>.</w:t>
      </w:r>
      <w:r w:rsidRPr="00D80059">
        <w:rPr>
          <w:sz w:val="22"/>
          <w:szCs w:val="22"/>
        </w:rPr>
        <w:t xml:space="preserve"> </w:t>
      </w:r>
    </w:p>
    <w:p w14:paraId="2BE1085D" w14:textId="2FF1DC80" w:rsidR="007D0379" w:rsidRPr="00D80059" w:rsidRDefault="007D0379" w:rsidP="009675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Alternativním řešením situace by </w:t>
      </w:r>
      <w:r w:rsidR="006D7787">
        <w:rPr>
          <w:sz w:val="22"/>
          <w:szCs w:val="22"/>
        </w:rPr>
        <w:t xml:space="preserve">hypoteticky </w:t>
      </w:r>
      <w:r>
        <w:rPr>
          <w:sz w:val="22"/>
          <w:szCs w:val="22"/>
        </w:rPr>
        <w:t>mohlo být převedení zřizovatelské funkce škol a školských zařízení na jednotlivé městské obvody</w:t>
      </w:r>
      <w:r w:rsidR="006D7787">
        <w:rPr>
          <w:sz w:val="22"/>
          <w:szCs w:val="22"/>
        </w:rPr>
        <w:t>. To však</w:t>
      </w:r>
      <w:r>
        <w:rPr>
          <w:sz w:val="22"/>
          <w:szCs w:val="22"/>
        </w:rPr>
        <w:t xml:space="preserve"> předkladatelé a zpracovatelé nepovažují za efektivní</w:t>
      </w:r>
      <w:r w:rsidR="006D7787">
        <w:rPr>
          <w:sz w:val="22"/>
          <w:szCs w:val="22"/>
        </w:rPr>
        <w:t xml:space="preserve">, ani správné </w:t>
      </w:r>
      <w:r>
        <w:rPr>
          <w:sz w:val="22"/>
          <w:szCs w:val="22"/>
        </w:rPr>
        <w:t>řešení, a to</w:t>
      </w:r>
      <w:r w:rsidR="002553F0">
        <w:rPr>
          <w:sz w:val="22"/>
          <w:szCs w:val="22"/>
        </w:rPr>
        <w:t xml:space="preserve"> zejména</w:t>
      </w:r>
      <w:r>
        <w:rPr>
          <w:sz w:val="22"/>
          <w:szCs w:val="22"/>
        </w:rPr>
        <w:t xml:space="preserve"> z důvodu odlišného členění školských spádových obvodů, které</w:t>
      </w:r>
      <w:r w:rsidR="007E5063">
        <w:rPr>
          <w:sz w:val="22"/>
          <w:szCs w:val="22"/>
        </w:rPr>
        <w:t xml:space="preserve"> neodpovídají </w:t>
      </w:r>
      <w:r>
        <w:rPr>
          <w:sz w:val="22"/>
          <w:szCs w:val="22"/>
        </w:rPr>
        <w:t>správní</w:t>
      </w:r>
      <w:r w:rsidR="007E5063">
        <w:rPr>
          <w:sz w:val="22"/>
          <w:szCs w:val="22"/>
        </w:rPr>
        <w:t>mu</w:t>
      </w:r>
      <w:r>
        <w:rPr>
          <w:sz w:val="22"/>
          <w:szCs w:val="22"/>
        </w:rPr>
        <w:t xml:space="preserve"> členění městských částí</w:t>
      </w:r>
      <w:r w:rsidR="005563DE">
        <w:rPr>
          <w:sz w:val="22"/>
          <w:szCs w:val="22"/>
        </w:rPr>
        <w:t xml:space="preserve">. Stávající systém umožňuje městu a zřizovateli </w:t>
      </w:r>
      <w:r w:rsidR="007E5063">
        <w:rPr>
          <w:sz w:val="22"/>
          <w:szCs w:val="22"/>
        </w:rPr>
        <w:t>flexibilně reag</w:t>
      </w:r>
      <w:r w:rsidR="005563DE">
        <w:rPr>
          <w:sz w:val="22"/>
          <w:szCs w:val="22"/>
        </w:rPr>
        <w:t>ovat</w:t>
      </w:r>
      <w:r w:rsidR="007E5063">
        <w:rPr>
          <w:sz w:val="22"/>
          <w:szCs w:val="22"/>
        </w:rPr>
        <w:t xml:space="preserve"> na potřeby občanů města</w:t>
      </w:r>
      <w:r w:rsidR="00AF6089">
        <w:rPr>
          <w:sz w:val="22"/>
          <w:szCs w:val="22"/>
        </w:rPr>
        <w:t xml:space="preserve"> včetně specifik moderních forem vzdělávání (</w:t>
      </w:r>
      <w:r w:rsidR="003C1F1C">
        <w:rPr>
          <w:sz w:val="22"/>
          <w:szCs w:val="22"/>
        </w:rPr>
        <w:t xml:space="preserve">ZŠ </w:t>
      </w:r>
      <w:r w:rsidR="00AF6089">
        <w:rPr>
          <w:sz w:val="22"/>
          <w:szCs w:val="22"/>
        </w:rPr>
        <w:t xml:space="preserve">Montessori a </w:t>
      </w:r>
      <w:r w:rsidR="003C1F1C">
        <w:rPr>
          <w:sz w:val="22"/>
          <w:szCs w:val="22"/>
        </w:rPr>
        <w:t xml:space="preserve">ZŠ </w:t>
      </w:r>
      <w:proofErr w:type="spellStart"/>
      <w:r w:rsidR="00AF6089">
        <w:rPr>
          <w:sz w:val="22"/>
          <w:szCs w:val="22"/>
        </w:rPr>
        <w:t>Waldorf</w:t>
      </w:r>
      <w:proofErr w:type="spellEnd"/>
      <w:r w:rsidR="00AF6089">
        <w:rPr>
          <w:sz w:val="22"/>
          <w:szCs w:val="22"/>
        </w:rPr>
        <w:t xml:space="preserve"> </w:t>
      </w:r>
      <w:r w:rsidR="007253DC">
        <w:rPr>
          <w:sz w:val="22"/>
          <w:szCs w:val="22"/>
        </w:rPr>
        <w:t xml:space="preserve">zřizované městem </w:t>
      </w:r>
      <w:r w:rsidR="00AF6089">
        <w:rPr>
          <w:sz w:val="22"/>
          <w:szCs w:val="22"/>
        </w:rPr>
        <w:t>mají spádovost pro celé město).</w:t>
      </w:r>
      <w:r w:rsidR="007E5063">
        <w:rPr>
          <w:sz w:val="22"/>
          <w:szCs w:val="22"/>
        </w:rPr>
        <w:t xml:space="preserve"> Včetně uzavírání dohod s okolními obcemi a jejich podílu na nákladech pardubických škol.</w:t>
      </w:r>
      <w:r w:rsidR="00516355">
        <w:rPr>
          <w:sz w:val="22"/>
          <w:szCs w:val="22"/>
        </w:rPr>
        <w:t xml:space="preserve"> </w:t>
      </w:r>
      <w:r w:rsidR="006A61CD">
        <w:rPr>
          <w:sz w:val="22"/>
          <w:szCs w:val="22"/>
        </w:rPr>
        <w:t>Nutno upozornit</w:t>
      </w:r>
      <w:r w:rsidR="007E5063">
        <w:rPr>
          <w:sz w:val="22"/>
          <w:szCs w:val="22"/>
        </w:rPr>
        <w:t xml:space="preserve">, že logicky </w:t>
      </w:r>
      <w:r w:rsidR="006A61CD">
        <w:rPr>
          <w:sz w:val="22"/>
          <w:szCs w:val="22"/>
        </w:rPr>
        <w:t>obvod</w:t>
      </w:r>
      <w:r w:rsidR="007E5063">
        <w:rPr>
          <w:sz w:val="22"/>
          <w:szCs w:val="22"/>
        </w:rPr>
        <w:t xml:space="preserve">y nejsou a ani nemohou být </w:t>
      </w:r>
      <w:r w:rsidR="006A61CD">
        <w:rPr>
          <w:sz w:val="22"/>
          <w:szCs w:val="22"/>
        </w:rPr>
        <w:t>na tuto</w:t>
      </w:r>
      <w:r w:rsidR="002553F0">
        <w:rPr>
          <w:sz w:val="22"/>
          <w:szCs w:val="22"/>
        </w:rPr>
        <w:t xml:space="preserve"> hypoteticky</w:t>
      </w:r>
      <w:r w:rsidR="006A61CD">
        <w:rPr>
          <w:sz w:val="22"/>
          <w:szCs w:val="22"/>
        </w:rPr>
        <w:t xml:space="preserve"> novou agendu</w:t>
      </w:r>
      <w:r w:rsidR="007E5063">
        <w:rPr>
          <w:sz w:val="22"/>
          <w:szCs w:val="22"/>
        </w:rPr>
        <w:t xml:space="preserve"> v současné době připraveny personálně ani rozpočtově</w:t>
      </w:r>
      <w:r w:rsidR="006A61CD">
        <w:rPr>
          <w:sz w:val="22"/>
          <w:szCs w:val="22"/>
        </w:rPr>
        <w:t>.</w:t>
      </w:r>
      <w:r w:rsidR="002553F0">
        <w:rPr>
          <w:sz w:val="22"/>
          <w:szCs w:val="22"/>
        </w:rPr>
        <w:t xml:space="preserve"> Z časového pohledu jsou rovněž tyto </w:t>
      </w:r>
      <w:r w:rsidR="007E5063">
        <w:rPr>
          <w:sz w:val="22"/>
          <w:szCs w:val="22"/>
        </w:rPr>
        <w:t xml:space="preserve">možné </w:t>
      </w:r>
      <w:r w:rsidR="002553F0">
        <w:rPr>
          <w:sz w:val="22"/>
          <w:szCs w:val="22"/>
        </w:rPr>
        <w:t>úvahy naprosto nereálné (účinnost zákona je 1.1.2026) a nesystémové. Dlouhodobá Strategie školství Pardubic</w:t>
      </w:r>
      <w:r w:rsidR="007E5063">
        <w:rPr>
          <w:sz w:val="22"/>
          <w:szCs w:val="22"/>
        </w:rPr>
        <w:t xml:space="preserve"> 2030</w:t>
      </w:r>
      <w:r w:rsidR="002553F0">
        <w:rPr>
          <w:sz w:val="22"/>
          <w:szCs w:val="22"/>
        </w:rPr>
        <w:t>, kterou schválilo zastupitelstvo města</w:t>
      </w:r>
      <w:r w:rsidR="007E5063">
        <w:rPr>
          <w:sz w:val="22"/>
          <w:szCs w:val="22"/>
        </w:rPr>
        <w:t>,</w:t>
      </w:r>
      <w:r w:rsidR="002553F0">
        <w:rPr>
          <w:sz w:val="22"/>
          <w:szCs w:val="22"/>
        </w:rPr>
        <w:t xml:space="preserve"> vůbec s</w:t>
      </w:r>
      <w:r w:rsidR="007E5063">
        <w:rPr>
          <w:sz w:val="22"/>
          <w:szCs w:val="22"/>
        </w:rPr>
        <w:t> drobením této agendy vůbec</w:t>
      </w:r>
      <w:r w:rsidR="002553F0">
        <w:rPr>
          <w:sz w:val="22"/>
          <w:szCs w:val="22"/>
        </w:rPr>
        <w:t xml:space="preserve"> nepočítá</w:t>
      </w:r>
      <w:r w:rsidR="007E5063">
        <w:rPr>
          <w:sz w:val="22"/>
          <w:szCs w:val="22"/>
        </w:rPr>
        <w:t>.</w:t>
      </w:r>
      <w:r w:rsidR="002553F0">
        <w:rPr>
          <w:sz w:val="22"/>
          <w:szCs w:val="22"/>
        </w:rPr>
        <w:t xml:space="preserve"> </w:t>
      </w:r>
      <w:r w:rsidR="007E5063">
        <w:rPr>
          <w:sz w:val="22"/>
          <w:szCs w:val="22"/>
        </w:rPr>
        <w:t>N</w:t>
      </w:r>
      <w:r w:rsidR="002553F0">
        <w:rPr>
          <w:sz w:val="22"/>
          <w:szCs w:val="22"/>
        </w:rPr>
        <w:t>aopak</w:t>
      </w:r>
      <w:r w:rsidR="007E5063">
        <w:rPr>
          <w:sz w:val="22"/>
          <w:szCs w:val="22"/>
        </w:rPr>
        <w:t>.</w:t>
      </w:r>
      <w:r w:rsidR="002553F0">
        <w:rPr>
          <w:sz w:val="22"/>
          <w:szCs w:val="22"/>
        </w:rPr>
        <w:t xml:space="preserve"> </w:t>
      </w:r>
      <w:r w:rsidR="007E5063">
        <w:rPr>
          <w:sz w:val="22"/>
          <w:szCs w:val="22"/>
        </w:rPr>
        <w:t>J</w:t>
      </w:r>
      <w:r w:rsidR="002553F0">
        <w:rPr>
          <w:sz w:val="22"/>
          <w:szCs w:val="22"/>
        </w:rPr>
        <w:t>edna zřizovatelská funkce se jeví z pohledu provozních nákladů úřadu a jednotn</w:t>
      </w:r>
      <w:r w:rsidR="007E5063">
        <w:rPr>
          <w:sz w:val="22"/>
          <w:szCs w:val="22"/>
        </w:rPr>
        <w:t>ého</w:t>
      </w:r>
      <w:r w:rsidR="002553F0">
        <w:rPr>
          <w:sz w:val="22"/>
          <w:szCs w:val="22"/>
        </w:rPr>
        <w:t xml:space="preserve"> přístup</w:t>
      </w:r>
      <w:r w:rsidR="007E5063">
        <w:rPr>
          <w:sz w:val="22"/>
          <w:szCs w:val="22"/>
        </w:rPr>
        <w:t>u k metodickému vedení</w:t>
      </w:r>
      <w:r w:rsidR="002553F0">
        <w:rPr>
          <w:sz w:val="22"/>
          <w:szCs w:val="22"/>
        </w:rPr>
        <w:t xml:space="preserve"> pro všechny </w:t>
      </w:r>
      <w:r w:rsidR="007E5063">
        <w:rPr>
          <w:sz w:val="22"/>
          <w:szCs w:val="22"/>
        </w:rPr>
        <w:t xml:space="preserve">základní </w:t>
      </w:r>
      <w:r w:rsidR="002553F0">
        <w:rPr>
          <w:sz w:val="22"/>
          <w:szCs w:val="22"/>
        </w:rPr>
        <w:t>školy, mateřské škol</w:t>
      </w:r>
      <w:r w:rsidR="007E5063">
        <w:rPr>
          <w:sz w:val="22"/>
          <w:szCs w:val="22"/>
        </w:rPr>
        <w:t>y, domy dětí a mládeže (střediska volného času) a základní umělecké školy</w:t>
      </w:r>
      <w:r w:rsidR="002553F0">
        <w:rPr>
          <w:sz w:val="22"/>
          <w:szCs w:val="22"/>
        </w:rPr>
        <w:t xml:space="preserve"> </w:t>
      </w:r>
      <w:r w:rsidR="007E5063">
        <w:rPr>
          <w:sz w:val="22"/>
          <w:szCs w:val="22"/>
        </w:rPr>
        <w:t>jako lety prověřená a osvědčená cesta.</w:t>
      </w:r>
    </w:p>
    <w:p w14:paraId="18D3DE09" w14:textId="77777777" w:rsidR="007253DC" w:rsidRDefault="00B575F5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>P</w:t>
      </w:r>
      <w:r w:rsidR="00875B93" w:rsidRPr="00D80059">
        <w:rPr>
          <w:sz w:val="22"/>
          <w:szCs w:val="22"/>
        </w:rPr>
        <w:t>o</w:t>
      </w:r>
      <w:r w:rsidR="007D0379">
        <w:rPr>
          <w:sz w:val="22"/>
          <w:szCs w:val="22"/>
        </w:rPr>
        <w:t>díl</w:t>
      </w:r>
      <w:r w:rsidR="00CF6A20">
        <w:rPr>
          <w:sz w:val="22"/>
          <w:szCs w:val="22"/>
        </w:rPr>
        <w:t>y</w:t>
      </w:r>
      <w:r w:rsidR="00875B93" w:rsidRPr="00D80059">
        <w:rPr>
          <w:sz w:val="22"/>
          <w:szCs w:val="22"/>
        </w:rPr>
        <w:t xml:space="preserve"> </w:t>
      </w:r>
      <w:r w:rsidRPr="00D80059">
        <w:rPr>
          <w:sz w:val="22"/>
          <w:szCs w:val="22"/>
        </w:rPr>
        <w:t>městských obvodů</w:t>
      </w:r>
      <w:r w:rsidR="00875B93" w:rsidRPr="00D80059">
        <w:rPr>
          <w:sz w:val="22"/>
          <w:szCs w:val="22"/>
        </w:rPr>
        <w:t xml:space="preserve"> na výnosech daní</w:t>
      </w:r>
      <w:r w:rsidRPr="00D80059">
        <w:rPr>
          <w:sz w:val="22"/>
          <w:szCs w:val="22"/>
        </w:rPr>
        <w:t xml:space="preserve"> </w:t>
      </w:r>
      <w:r w:rsidR="007D0379">
        <w:rPr>
          <w:sz w:val="22"/>
          <w:szCs w:val="22"/>
        </w:rPr>
        <w:t xml:space="preserve">dle RUD </w:t>
      </w:r>
      <w:r w:rsidRPr="00D80059">
        <w:rPr>
          <w:sz w:val="22"/>
          <w:szCs w:val="22"/>
        </w:rPr>
        <w:t xml:space="preserve">od roku </w:t>
      </w:r>
      <w:r w:rsidR="00DE5D2F" w:rsidRPr="00D80059">
        <w:rPr>
          <w:sz w:val="22"/>
          <w:szCs w:val="22"/>
        </w:rPr>
        <w:t>202</w:t>
      </w:r>
      <w:r w:rsidR="00875B93" w:rsidRPr="00D80059">
        <w:rPr>
          <w:sz w:val="22"/>
          <w:szCs w:val="22"/>
        </w:rPr>
        <w:t>1</w:t>
      </w:r>
      <w:r w:rsidR="00DE5D2F" w:rsidRPr="00D80059">
        <w:rPr>
          <w:sz w:val="22"/>
          <w:szCs w:val="22"/>
        </w:rPr>
        <w:t xml:space="preserve"> do roku 2025 stouply o </w:t>
      </w:r>
      <w:r w:rsidR="00535907" w:rsidRPr="00535907">
        <w:rPr>
          <w:sz w:val="22"/>
          <w:szCs w:val="22"/>
        </w:rPr>
        <w:t>44</w:t>
      </w:r>
      <w:r w:rsidR="00875B93" w:rsidRPr="00535907">
        <w:rPr>
          <w:sz w:val="22"/>
          <w:szCs w:val="22"/>
        </w:rPr>
        <w:t>,</w:t>
      </w:r>
      <w:r w:rsidR="00535907" w:rsidRPr="00535907">
        <w:rPr>
          <w:sz w:val="22"/>
          <w:szCs w:val="22"/>
        </w:rPr>
        <w:t>6</w:t>
      </w:r>
      <w:r w:rsidR="00DE5D2F" w:rsidRPr="00535907">
        <w:rPr>
          <w:sz w:val="22"/>
          <w:szCs w:val="22"/>
        </w:rPr>
        <w:t xml:space="preserve"> </w:t>
      </w:r>
      <w:r w:rsidR="00B97C01" w:rsidRPr="00535907">
        <w:rPr>
          <w:sz w:val="22"/>
          <w:szCs w:val="22"/>
        </w:rPr>
        <w:t>%</w:t>
      </w:r>
      <w:r w:rsidR="00875B93" w:rsidRPr="00535907">
        <w:rPr>
          <w:sz w:val="22"/>
          <w:szCs w:val="22"/>
        </w:rPr>
        <w:t xml:space="preserve"> </w:t>
      </w:r>
      <w:r w:rsidR="00875B93" w:rsidRPr="00D80059">
        <w:rPr>
          <w:sz w:val="22"/>
          <w:szCs w:val="22"/>
        </w:rPr>
        <w:t>-</w:t>
      </w:r>
      <w:r w:rsidR="00875B93" w:rsidRPr="00D80059">
        <w:rPr>
          <w:color w:val="EE0000"/>
          <w:sz w:val="22"/>
          <w:szCs w:val="22"/>
        </w:rPr>
        <w:t xml:space="preserve"> </w:t>
      </w:r>
      <w:r w:rsidR="00875B93" w:rsidRPr="00D80059">
        <w:rPr>
          <w:sz w:val="22"/>
          <w:szCs w:val="22"/>
        </w:rPr>
        <w:t>v</w:t>
      </w:r>
      <w:r w:rsidR="00DE5D2F" w:rsidRPr="00D80059">
        <w:rPr>
          <w:sz w:val="22"/>
          <w:szCs w:val="22"/>
        </w:rPr>
        <w:t xml:space="preserve">iz graf níže. </w:t>
      </w:r>
      <w:r w:rsidRPr="00D80059">
        <w:rPr>
          <w:sz w:val="22"/>
          <w:szCs w:val="22"/>
        </w:rPr>
        <w:t xml:space="preserve"> </w:t>
      </w:r>
      <w:r w:rsidR="00DE5D2F" w:rsidRPr="00D80059">
        <w:rPr>
          <w:sz w:val="22"/>
          <w:szCs w:val="22"/>
        </w:rPr>
        <w:t xml:space="preserve">Rostoucí trend byl způsoben </w:t>
      </w:r>
      <w:r w:rsidR="000E0C5A" w:rsidRPr="00D80059">
        <w:rPr>
          <w:sz w:val="22"/>
          <w:szCs w:val="22"/>
        </w:rPr>
        <w:t xml:space="preserve">nejen </w:t>
      </w:r>
      <w:r w:rsidR="00DE5D2F" w:rsidRPr="00D80059">
        <w:rPr>
          <w:sz w:val="22"/>
          <w:szCs w:val="22"/>
        </w:rPr>
        <w:t>rostoucími příjmy dle zákona o RUD, a</w:t>
      </w:r>
      <w:r w:rsidR="000E0C5A" w:rsidRPr="00D80059">
        <w:rPr>
          <w:sz w:val="22"/>
          <w:szCs w:val="22"/>
        </w:rPr>
        <w:t>le</w:t>
      </w:r>
      <w:r w:rsidR="00DE5D2F" w:rsidRPr="00D80059">
        <w:rPr>
          <w:sz w:val="22"/>
          <w:szCs w:val="22"/>
        </w:rPr>
        <w:t xml:space="preserve"> také zvýšení</w:t>
      </w:r>
      <w:r w:rsidR="000E0C5A" w:rsidRPr="00D80059">
        <w:rPr>
          <w:sz w:val="22"/>
          <w:szCs w:val="22"/>
        </w:rPr>
        <w:t>m</w:t>
      </w:r>
      <w:r w:rsidR="00DE5D2F" w:rsidRPr="00D80059">
        <w:rPr>
          <w:sz w:val="22"/>
          <w:szCs w:val="22"/>
        </w:rPr>
        <w:t xml:space="preserve"> sazeb z daně z</w:t>
      </w:r>
      <w:r w:rsidR="00CB7A9F" w:rsidRPr="00D80059">
        <w:rPr>
          <w:sz w:val="22"/>
          <w:szCs w:val="22"/>
        </w:rPr>
        <w:t> </w:t>
      </w:r>
      <w:r w:rsidR="00DE5D2F" w:rsidRPr="00D80059">
        <w:rPr>
          <w:sz w:val="22"/>
          <w:szCs w:val="22"/>
        </w:rPr>
        <w:t>nemov</w:t>
      </w:r>
      <w:r w:rsidR="00CB7A9F" w:rsidRPr="00D80059">
        <w:rPr>
          <w:sz w:val="22"/>
          <w:szCs w:val="22"/>
        </w:rPr>
        <w:t>itých věcí</w:t>
      </w:r>
      <w:r w:rsidR="00DE5D2F" w:rsidRPr="00D80059">
        <w:rPr>
          <w:sz w:val="22"/>
          <w:szCs w:val="22"/>
        </w:rPr>
        <w:t xml:space="preserve">, ať už novelizací zákona </w:t>
      </w:r>
      <w:r w:rsidR="00CB7A9F" w:rsidRPr="00D80059">
        <w:rPr>
          <w:sz w:val="22"/>
          <w:szCs w:val="22"/>
        </w:rPr>
        <w:t>č. 338/1992 Sb., o dani z nemovitých věcí, v platném znění</w:t>
      </w:r>
      <w:r w:rsidR="00DE5D2F" w:rsidRPr="00D80059">
        <w:rPr>
          <w:sz w:val="22"/>
          <w:szCs w:val="22"/>
        </w:rPr>
        <w:t xml:space="preserve">, nebo úpravou koeficientů dle </w:t>
      </w:r>
      <w:r w:rsidR="00CB7A9F" w:rsidRPr="00D80059">
        <w:rPr>
          <w:sz w:val="22"/>
          <w:szCs w:val="22"/>
        </w:rPr>
        <w:t>Obecně závazné vyhlášky č. 9/2024 o úpravě koeficientů daně z nemovitých věcí.</w:t>
      </w:r>
      <w:r w:rsidR="00DE5D2F" w:rsidRPr="00D80059">
        <w:rPr>
          <w:sz w:val="22"/>
          <w:szCs w:val="22"/>
        </w:rPr>
        <w:t xml:space="preserve"> </w:t>
      </w:r>
    </w:p>
    <w:p w14:paraId="2D51B84C" w14:textId="49E95E4F" w:rsidR="00875B93" w:rsidRDefault="00535907" w:rsidP="00EB1FDC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8999AEC" wp14:editId="78F7DC6E">
            <wp:extent cx="4352925" cy="2533650"/>
            <wp:effectExtent l="0" t="0" r="9525" b="0"/>
            <wp:docPr id="13898358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0794E39-3A0E-2AD0-8258-A180857746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EACCE8C" w14:textId="6CA4E547" w:rsidR="007E5063" w:rsidRDefault="00261A33" w:rsidP="007E5063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lastRenderedPageBreak/>
        <w:t>V případě přijetí novely Statutu města Pardubic</w:t>
      </w:r>
      <w:r w:rsidR="009A0BEC" w:rsidRPr="00D80059">
        <w:rPr>
          <w:sz w:val="22"/>
          <w:szCs w:val="22"/>
        </w:rPr>
        <w:t>, ve které se navrhuje úprava koeficientů pro jednotlivé městské obvody,</w:t>
      </w:r>
      <w:r w:rsidRPr="00D80059">
        <w:rPr>
          <w:sz w:val="22"/>
          <w:szCs w:val="22"/>
        </w:rPr>
        <w:t xml:space="preserve"> se předpokládá, že p</w:t>
      </w:r>
      <w:r w:rsidR="009A0BEC" w:rsidRPr="00D80059">
        <w:rPr>
          <w:sz w:val="22"/>
          <w:szCs w:val="22"/>
        </w:rPr>
        <w:t>odíl</w:t>
      </w:r>
      <w:r w:rsidRPr="00D80059">
        <w:rPr>
          <w:sz w:val="22"/>
          <w:szCs w:val="22"/>
        </w:rPr>
        <w:t xml:space="preserve"> městských obvodů </w:t>
      </w:r>
      <w:r w:rsidR="009A0BEC" w:rsidRPr="00D80059">
        <w:rPr>
          <w:sz w:val="22"/>
          <w:szCs w:val="22"/>
        </w:rPr>
        <w:t xml:space="preserve">na výnosech daní </w:t>
      </w:r>
      <w:r w:rsidRPr="00D80059">
        <w:rPr>
          <w:sz w:val="22"/>
          <w:szCs w:val="22"/>
        </w:rPr>
        <w:t>dosáhn</w:t>
      </w:r>
      <w:r w:rsidR="009A0BEC" w:rsidRPr="00D80059">
        <w:rPr>
          <w:sz w:val="22"/>
          <w:szCs w:val="22"/>
        </w:rPr>
        <w:t>e</w:t>
      </w:r>
      <w:r w:rsidRPr="00D80059">
        <w:rPr>
          <w:sz w:val="22"/>
          <w:szCs w:val="22"/>
        </w:rPr>
        <w:t xml:space="preserve"> podle aktuální predikce výnosů Ministerstva financí ČR pro rok 2026 částky 370,24 mil. Kč. Tato výše odpovídá úrovni příjmů z roku 2024, kdy městské obvody obdržely od města podíl v celkové výši 369,16 mil. Kč.</w:t>
      </w:r>
      <w:r w:rsidR="007E5063">
        <w:rPr>
          <w:sz w:val="22"/>
          <w:szCs w:val="22"/>
        </w:rPr>
        <w:t xml:space="preserve"> </w:t>
      </w:r>
    </w:p>
    <w:p w14:paraId="4874AAFF" w14:textId="77777777" w:rsidR="007E5063" w:rsidRDefault="007E5063" w:rsidP="009675CF">
      <w:pPr>
        <w:jc w:val="both"/>
        <w:rPr>
          <w:sz w:val="22"/>
          <w:szCs w:val="22"/>
        </w:rPr>
      </w:pPr>
      <w:bookmarkStart w:id="0" w:name="_Hlk213231002"/>
    </w:p>
    <w:p w14:paraId="72107B61" w14:textId="77777777" w:rsidR="007253DC" w:rsidRDefault="007253DC" w:rsidP="009675CF">
      <w:pPr>
        <w:jc w:val="both"/>
        <w:rPr>
          <w:sz w:val="22"/>
          <w:szCs w:val="22"/>
        </w:rPr>
      </w:pPr>
    </w:p>
    <w:p w14:paraId="0D1D0055" w14:textId="533C3972" w:rsidR="00A875DE" w:rsidRPr="00D80059" w:rsidRDefault="00A875DE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 xml:space="preserve">Stávající koeficienty pro městské obvody dle </w:t>
      </w:r>
      <w:r w:rsidR="00FF5C6A">
        <w:rPr>
          <w:sz w:val="22"/>
          <w:szCs w:val="22"/>
        </w:rPr>
        <w:t xml:space="preserve">odst. 2 </w:t>
      </w:r>
      <w:r w:rsidRPr="00D80059">
        <w:rPr>
          <w:sz w:val="22"/>
          <w:szCs w:val="22"/>
        </w:rPr>
        <w:t>písmena h), i) a j) Přílohy č. 3 Statutu města Pardubic: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300"/>
        <w:gridCol w:w="2360"/>
        <w:gridCol w:w="2320"/>
      </w:tblGrid>
      <w:tr w:rsidR="00A875DE" w:rsidRPr="00A875DE" w14:paraId="711CD939" w14:textId="77777777" w:rsidTr="00FF5C6A">
        <w:trPr>
          <w:trHeight w:val="54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AEDFB"/>
            <w:noWrap/>
            <w:vAlign w:val="bottom"/>
            <w:hideMark/>
          </w:tcPr>
          <w:bookmarkEnd w:id="0"/>
          <w:p w14:paraId="54AF24C5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Městský obvod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bottom"/>
            <w:hideMark/>
          </w:tcPr>
          <w:p w14:paraId="5E228FA7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STÁVAJÍCÍ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KOEFICIENT - PODÍL</w:t>
            </w:r>
            <w:proofErr w:type="gramEnd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 NA DANÍCH 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bottom"/>
            <w:hideMark/>
          </w:tcPr>
          <w:p w14:paraId="6EEDDDB2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STÁVAJÍCÍ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KOEFICIENT - ŽIVOTNÍ</w:t>
            </w:r>
            <w:proofErr w:type="gramEnd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 PROSTŘEDÍ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AEDFB"/>
            <w:vAlign w:val="bottom"/>
            <w:hideMark/>
          </w:tcPr>
          <w:p w14:paraId="365EE250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STÁVAJÍCÍ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KOEFICIENT - DOPRAVA</w:t>
            </w:r>
            <w:proofErr w:type="gramEnd"/>
          </w:p>
        </w:tc>
      </w:tr>
      <w:tr w:rsidR="00A875DE" w:rsidRPr="00A875DE" w14:paraId="50B712DF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AC64874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I  Střed</w:t>
            </w:r>
            <w:proofErr w:type="gram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3D687F3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0,0000004471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82A27D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1,587312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0447C757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0,630568</w:t>
            </w:r>
          </w:p>
        </w:tc>
      </w:tr>
      <w:tr w:rsidR="00A875DE" w:rsidRPr="00A875DE" w14:paraId="0D897EFA" w14:textId="77777777" w:rsidTr="00A875DE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A5BCCAE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 Polabiny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EC7F69E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0,0000005243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684CE93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1,258552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699B7FF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0,373973</w:t>
            </w:r>
          </w:p>
        </w:tc>
      </w:tr>
      <w:tr w:rsidR="00A875DE" w:rsidRPr="00A875DE" w14:paraId="10BB9B56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ED8F889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III Studánka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14C3970F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0,0000007562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E86D48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0,758068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0593C36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0,324838</w:t>
            </w:r>
          </w:p>
        </w:tc>
      </w:tr>
      <w:tr w:rsidR="00A875DE" w:rsidRPr="00A875DE" w14:paraId="7D6EA627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842FB14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IV Pardubičky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CA6D0A9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0,0000021543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69FA52E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0,428744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6590C1FB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0,311189</w:t>
            </w:r>
          </w:p>
        </w:tc>
      </w:tr>
      <w:tr w:rsidR="00A875DE" w:rsidRPr="00A875DE" w14:paraId="442EA5EB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8E91C8F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 Dukla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1F94D20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0,0000006931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1410A0C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0,990799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5CF528E4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0,524109</w:t>
            </w:r>
          </w:p>
        </w:tc>
      </w:tr>
      <w:tr w:rsidR="00A875DE" w:rsidRPr="00A875DE" w14:paraId="0199D6CA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CA00236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VI </w:t>
            </w:r>
            <w:proofErr w:type="spell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Svítkov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3181A34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0,0000025067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562274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0,175113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318976A8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0,281162</w:t>
            </w:r>
          </w:p>
        </w:tc>
      </w:tr>
      <w:tr w:rsidR="00A875DE" w:rsidRPr="00A875DE" w14:paraId="78B67699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5D1A900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 Rosice n/L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74D1F8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0,0000020429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4BF115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0,450209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7108C690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0,283892</w:t>
            </w:r>
          </w:p>
        </w:tc>
      </w:tr>
      <w:tr w:rsidR="00A875DE" w:rsidRPr="00A875DE" w14:paraId="6BAC7B5C" w14:textId="77777777" w:rsidTr="00A875DE">
        <w:trPr>
          <w:trHeight w:val="31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AF0C831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VIII Hostovice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23CB5F9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0,0000091216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E1DF7CE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5EB89EAF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</w:tr>
    </w:tbl>
    <w:p w14:paraId="13E446A6" w14:textId="77777777" w:rsidR="0045175E" w:rsidRDefault="0045175E" w:rsidP="00A875DE">
      <w:pPr>
        <w:jc w:val="both"/>
        <w:rPr>
          <w:sz w:val="22"/>
          <w:szCs w:val="22"/>
        </w:rPr>
      </w:pPr>
    </w:p>
    <w:p w14:paraId="06F02AB3" w14:textId="77777777" w:rsidR="007253DC" w:rsidRDefault="007253DC" w:rsidP="00A875DE">
      <w:pPr>
        <w:jc w:val="both"/>
        <w:rPr>
          <w:sz w:val="22"/>
          <w:szCs w:val="22"/>
        </w:rPr>
      </w:pPr>
    </w:p>
    <w:p w14:paraId="05266790" w14:textId="77777777" w:rsidR="007253DC" w:rsidRDefault="007253DC" w:rsidP="00A875DE">
      <w:pPr>
        <w:jc w:val="both"/>
        <w:rPr>
          <w:sz w:val="22"/>
          <w:szCs w:val="22"/>
        </w:rPr>
      </w:pPr>
    </w:p>
    <w:p w14:paraId="363A52BC" w14:textId="35318B2A" w:rsidR="00A875DE" w:rsidRPr="00D80059" w:rsidRDefault="00A875DE" w:rsidP="00A875DE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t xml:space="preserve">Nové koeficienty pro městské obvody dle </w:t>
      </w:r>
      <w:r w:rsidR="00FF5C6A">
        <w:rPr>
          <w:sz w:val="22"/>
          <w:szCs w:val="22"/>
        </w:rPr>
        <w:t xml:space="preserve">odst. 2 </w:t>
      </w:r>
      <w:r w:rsidRPr="00D80059">
        <w:rPr>
          <w:sz w:val="22"/>
          <w:szCs w:val="22"/>
        </w:rPr>
        <w:t>písmena h), i) a j) Přílohy č. 3 Statutu města Pardubic: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300"/>
        <w:gridCol w:w="2360"/>
        <w:gridCol w:w="2320"/>
      </w:tblGrid>
      <w:tr w:rsidR="00A875DE" w:rsidRPr="00A875DE" w14:paraId="1F855258" w14:textId="77777777" w:rsidTr="00FF5C6A">
        <w:trPr>
          <w:trHeight w:val="45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AEDFB"/>
            <w:noWrap/>
            <w:vAlign w:val="bottom"/>
            <w:hideMark/>
          </w:tcPr>
          <w:p w14:paraId="4C9D9BE1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Městský obvod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bottom"/>
            <w:hideMark/>
          </w:tcPr>
          <w:p w14:paraId="5571F050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NOVÝ KOEFICIENT -                 PODÍL NA DANÍCH 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bottom"/>
            <w:hideMark/>
          </w:tcPr>
          <w:p w14:paraId="0F1D0FBF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NOVÝ KOEFICIENT -             ŽIVOTNÍ PROSTŘEDÍ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AEDFB"/>
            <w:vAlign w:val="bottom"/>
            <w:hideMark/>
          </w:tcPr>
          <w:p w14:paraId="68F1CE54" w14:textId="77777777" w:rsidR="00A875DE" w:rsidRPr="00A875DE" w:rsidRDefault="00A875DE" w:rsidP="00A875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NOVÝ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KOEFICIENT - DOPRAVA</w:t>
            </w:r>
            <w:proofErr w:type="gramEnd"/>
          </w:p>
        </w:tc>
      </w:tr>
      <w:tr w:rsidR="00A875DE" w:rsidRPr="00A875DE" w14:paraId="182CBC49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8B4CE0A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</w:t>
            </w:r>
            <w:proofErr w:type="gram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I  Střed</w:t>
            </w:r>
            <w:proofErr w:type="gram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B5127D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0,0000003654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371D3D1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1,297138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20D7F708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0,515295</w:t>
            </w:r>
          </w:p>
        </w:tc>
      </w:tr>
      <w:tr w:rsidR="00A875DE" w:rsidRPr="00A875DE" w14:paraId="1F352825" w14:textId="77777777" w:rsidTr="00A875DE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73FEFD9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 Polabiny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AE11B91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0,0000004285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8EB6B4E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1,028478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2A80832D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0,305608</w:t>
            </w:r>
          </w:p>
        </w:tc>
      </w:tr>
      <w:tr w:rsidR="00A875DE" w:rsidRPr="00A875DE" w14:paraId="7D53534F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551E244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III Studánka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416227D7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0,0000006180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D9F347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0,619487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0FAD1034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0,265455</w:t>
            </w:r>
          </w:p>
        </w:tc>
      </w:tr>
      <w:tr w:rsidR="00A875DE" w:rsidRPr="00A875DE" w14:paraId="5F0475EF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0AFF54A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IV Pardubičky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961C776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0,0000017605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72DE0D2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0,350366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7616AD54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0,254301</w:t>
            </w:r>
          </w:p>
        </w:tc>
      </w:tr>
      <w:tr w:rsidR="00A875DE" w:rsidRPr="00A875DE" w14:paraId="43FBE252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92D4CEE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 Dukla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9ED3102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0,0000005664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4B7DFECE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0,809673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3BA4FFF3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0,428298</w:t>
            </w:r>
          </w:p>
        </w:tc>
      </w:tr>
      <w:tr w:rsidR="00A875DE" w:rsidRPr="00A875DE" w14:paraId="661E39C4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12643D9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VI </w:t>
            </w:r>
            <w:proofErr w:type="spellStart"/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Svítkov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405B06E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0,0000020485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94E2236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0,143101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15833894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0,229763</w:t>
            </w:r>
          </w:p>
        </w:tc>
      </w:tr>
      <w:tr w:rsidR="00A875DE" w:rsidRPr="00A875DE" w14:paraId="3A504FC0" w14:textId="77777777" w:rsidTr="00A875DE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09AF04B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 Rosice n/L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430129CA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0,0000016694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EACFB3C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0,367907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6D2EDFE5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0,231994</w:t>
            </w:r>
          </w:p>
        </w:tc>
      </w:tr>
      <w:tr w:rsidR="00A875DE" w:rsidRPr="00A875DE" w14:paraId="5736E5AD" w14:textId="77777777" w:rsidTr="00A875DE">
        <w:trPr>
          <w:trHeight w:val="31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6104075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VIII Hostovice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8859BD3" w14:textId="77777777" w:rsidR="00A875DE" w:rsidRPr="00A875DE" w:rsidRDefault="00A875DE" w:rsidP="00A875DE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0,0000074541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8B7C6E5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2D5"/>
            <w:noWrap/>
            <w:vAlign w:val="bottom"/>
            <w:hideMark/>
          </w:tcPr>
          <w:p w14:paraId="2D55FF7B" w14:textId="77777777" w:rsidR="00A875DE" w:rsidRPr="00A875DE" w:rsidRDefault="00A875DE" w:rsidP="00A875D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A875D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</w:tr>
    </w:tbl>
    <w:p w14:paraId="5109A046" w14:textId="77777777" w:rsidR="00535907" w:rsidRDefault="00535907" w:rsidP="009675CF">
      <w:pPr>
        <w:jc w:val="both"/>
        <w:rPr>
          <w:sz w:val="22"/>
          <w:szCs w:val="22"/>
        </w:rPr>
      </w:pPr>
    </w:p>
    <w:p w14:paraId="10033E4C" w14:textId="77777777" w:rsidR="007253DC" w:rsidRDefault="007253DC" w:rsidP="009675CF">
      <w:pPr>
        <w:jc w:val="both"/>
        <w:rPr>
          <w:sz w:val="22"/>
          <w:szCs w:val="22"/>
        </w:rPr>
      </w:pPr>
    </w:p>
    <w:p w14:paraId="3DAC1C43" w14:textId="77777777" w:rsidR="007253DC" w:rsidRDefault="007253DC" w:rsidP="009675CF">
      <w:pPr>
        <w:jc w:val="both"/>
        <w:rPr>
          <w:sz w:val="22"/>
          <w:szCs w:val="22"/>
        </w:rPr>
      </w:pPr>
    </w:p>
    <w:p w14:paraId="38A02B2B" w14:textId="77777777" w:rsidR="007253DC" w:rsidRDefault="007253DC" w:rsidP="009675CF">
      <w:pPr>
        <w:jc w:val="both"/>
        <w:rPr>
          <w:sz w:val="22"/>
          <w:szCs w:val="22"/>
        </w:rPr>
      </w:pPr>
    </w:p>
    <w:p w14:paraId="188CE500" w14:textId="77777777" w:rsidR="007253DC" w:rsidRDefault="007253DC" w:rsidP="009675CF">
      <w:pPr>
        <w:jc w:val="both"/>
        <w:rPr>
          <w:sz w:val="22"/>
          <w:szCs w:val="22"/>
        </w:rPr>
      </w:pPr>
    </w:p>
    <w:p w14:paraId="5C1795DA" w14:textId="6E63A110" w:rsidR="00F40C7D" w:rsidRPr="00D80059" w:rsidRDefault="008D7536" w:rsidP="009675CF">
      <w:pPr>
        <w:jc w:val="both"/>
        <w:rPr>
          <w:sz w:val="22"/>
          <w:szCs w:val="22"/>
        </w:rPr>
      </w:pPr>
      <w:r w:rsidRPr="00D80059">
        <w:rPr>
          <w:sz w:val="22"/>
          <w:szCs w:val="22"/>
        </w:rPr>
        <w:lastRenderedPageBreak/>
        <w:t>Přehled příjmů městských obvodů (podíl</w:t>
      </w:r>
      <w:r w:rsidR="00E126BF" w:rsidRPr="00D80059">
        <w:rPr>
          <w:sz w:val="22"/>
          <w:szCs w:val="22"/>
        </w:rPr>
        <w:t>y</w:t>
      </w:r>
      <w:r w:rsidRPr="00D80059">
        <w:rPr>
          <w:sz w:val="22"/>
          <w:szCs w:val="22"/>
        </w:rPr>
        <w:t xml:space="preserve"> na výnosech daní) v </w:t>
      </w:r>
      <w:r w:rsidR="00E126BF" w:rsidRPr="00D80059">
        <w:rPr>
          <w:sz w:val="22"/>
          <w:szCs w:val="22"/>
        </w:rPr>
        <w:t>roce</w:t>
      </w:r>
      <w:r w:rsidRPr="00D80059">
        <w:rPr>
          <w:sz w:val="22"/>
          <w:szCs w:val="22"/>
        </w:rPr>
        <w:t xml:space="preserve"> 2024</w:t>
      </w:r>
      <w:r w:rsidR="00E126BF" w:rsidRPr="00D80059">
        <w:rPr>
          <w:sz w:val="22"/>
          <w:szCs w:val="22"/>
        </w:rPr>
        <w:t>, predikce pro rok</w:t>
      </w:r>
      <w:r w:rsidRPr="00D80059">
        <w:rPr>
          <w:sz w:val="22"/>
          <w:szCs w:val="22"/>
        </w:rPr>
        <w:t xml:space="preserve"> 2025 a p</w:t>
      </w:r>
      <w:r w:rsidR="00F40C7D" w:rsidRPr="00D80059">
        <w:rPr>
          <w:sz w:val="22"/>
          <w:szCs w:val="22"/>
        </w:rPr>
        <w:t xml:space="preserve">redikce </w:t>
      </w:r>
      <w:r w:rsidR="009A0BEC" w:rsidRPr="00D80059">
        <w:rPr>
          <w:sz w:val="22"/>
          <w:szCs w:val="22"/>
        </w:rPr>
        <w:t>pro rok 2026</w:t>
      </w:r>
      <w:r w:rsidR="00261A33" w:rsidRPr="00D80059">
        <w:rPr>
          <w:sz w:val="22"/>
          <w:szCs w:val="22"/>
        </w:rPr>
        <w:t xml:space="preserve"> po úpravě koeficientů ve Statutu města Pardubic: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2360"/>
        <w:gridCol w:w="2360"/>
        <w:gridCol w:w="2360"/>
      </w:tblGrid>
      <w:tr w:rsidR="00DB0C1A" w:rsidRPr="00DB0C1A" w14:paraId="1EBDFCFE" w14:textId="77777777" w:rsidTr="00DB0C1A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E14E7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 tis. Kč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4C9FE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5FA93" w14:textId="77777777" w:rsidR="00DB0C1A" w:rsidRPr="00DB0C1A" w:rsidRDefault="00DB0C1A" w:rsidP="00DB0C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AC96B" w14:textId="77777777" w:rsidR="00DB0C1A" w:rsidRPr="00DB0C1A" w:rsidRDefault="00DB0C1A" w:rsidP="00DB0C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DB0C1A" w:rsidRPr="00DB0C1A" w14:paraId="3CC4A3C3" w14:textId="77777777" w:rsidTr="00DB0C1A">
        <w:trPr>
          <w:trHeight w:val="99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AEDFB"/>
            <w:noWrap/>
            <w:vAlign w:val="center"/>
            <w:hideMark/>
          </w:tcPr>
          <w:p w14:paraId="799F5E0F" w14:textId="77777777" w:rsidR="00DB0C1A" w:rsidRPr="00DB0C1A" w:rsidRDefault="00DB0C1A" w:rsidP="00DB0C1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Městský obvod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71E851B8" w14:textId="77777777" w:rsidR="00DB0C1A" w:rsidRPr="00DB0C1A" w:rsidRDefault="00DB0C1A" w:rsidP="00DB0C1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2024                             skutečnost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7893EBD0" w14:textId="77777777" w:rsidR="00DB0C1A" w:rsidRPr="00DB0C1A" w:rsidRDefault="00DB0C1A" w:rsidP="00DB0C1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2025                              predikce 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AEDFB"/>
            <w:vAlign w:val="center"/>
            <w:hideMark/>
          </w:tcPr>
          <w:p w14:paraId="5DCA8106" w14:textId="77777777" w:rsidR="00DB0C1A" w:rsidRPr="00DB0C1A" w:rsidRDefault="00DB0C1A" w:rsidP="00DB0C1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2026                                   predikce                              </w:t>
            </w:r>
            <w:proofErr w:type="gramStart"/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   (</w:t>
            </w:r>
            <w:proofErr w:type="gramEnd"/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 úpravě koeficientů)</w:t>
            </w:r>
          </w:p>
        </w:tc>
      </w:tr>
      <w:tr w:rsidR="00DB0C1A" w:rsidRPr="00DB0C1A" w14:paraId="750A8449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ECB4ED9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</w:t>
            </w:r>
            <w:proofErr w:type="gramStart"/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I  Střed</w:t>
            </w:r>
            <w:proofErr w:type="gram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CC0F6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70 003,0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366F2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75 065,6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B139FD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70 243,9</w:t>
            </w:r>
          </w:p>
        </w:tc>
      </w:tr>
      <w:tr w:rsidR="00DB0C1A" w:rsidRPr="00DB0C1A" w14:paraId="48BEFE59" w14:textId="77777777" w:rsidTr="00DB0C1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F81DB82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 Polabiny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ECECA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55 454,9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D693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59 030,7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37B246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55 239,0</w:t>
            </w:r>
          </w:p>
        </w:tc>
      </w:tr>
      <w:tr w:rsidR="00DB0C1A" w:rsidRPr="00DB0C1A" w14:paraId="55737C67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2306AC8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III Studánka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D5B50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47 736,0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4F20A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50 632,8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664BB7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47 380,6</w:t>
            </w:r>
          </w:p>
        </w:tc>
      </w:tr>
      <w:tr w:rsidR="00DB0C1A" w:rsidRPr="00DB0C1A" w14:paraId="1769800E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A785BDA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IV Pardubičky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88B46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41 449,2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39E12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44 421,9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C407BB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41 568,6</w:t>
            </w:r>
          </w:p>
        </w:tc>
      </w:tr>
      <w:tr w:rsidR="00DB0C1A" w:rsidRPr="00DB0C1A" w14:paraId="1E636FBE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5625ADF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 Dukla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50948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57 468,9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1FB0E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61 417,1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891124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57 472,1</w:t>
            </w:r>
          </w:p>
        </w:tc>
      </w:tr>
      <w:tr w:rsidR="00DB0C1A" w:rsidRPr="00DB0C1A" w14:paraId="73C0C5CA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7C28172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MO VI </w:t>
            </w:r>
            <w:proofErr w:type="spellStart"/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Svítkov</w:t>
            </w:r>
            <w:proofErr w:type="spellEnd"/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CDFD0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45 788,3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2E988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48 989,0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D5DE5F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45 842,4</w:t>
            </w:r>
          </w:p>
        </w:tc>
      </w:tr>
      <w:tr w:rsidR="00DB0C1A" w:rsidRPr="00DB0C1A" w14:paraId="129D5A8A" w14:textId="77777777" w:rsidTr="00DB0C1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570CA12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 Rosice n/L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4FFC4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45 635,1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4B2E8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49 674,7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E04AAC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46 483,9</w:t>
            </w:r>
          </w:p>
        </w:tc>
      </w:tr>
      <w:tr w:rsidR="00DB0C1A" w:rsidRPr="00DB0C1A" w14:paraId="402FC886" w14:textId="77777777" w:rsidTr="00DB0C1A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9A7207F" w14:textId="77777777" w:rsidR="00DB0C1A" w:rsidRPr="00DB0C1A" w:rsidRDefault="00DB0C1A" w:rsidP="00DB0C1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>MO VIII Hostovice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68319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5 628,4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30438E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6 426,2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E9C6086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6 013,4</w:t>
            </w:r>
          </w:p>
        </w:tc>
      </w:tr>
      <w:tr w:rsidR="00DB0C1A" w:rsidRPr="00DB0C1A" w14:paraId="68B8E99E" w14:textId="77777777" w:rsidTr="00DB0C1A">
        <w:trPr>
          <w:trHeight w:val="45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042CA057" w14:textId="77777777" w:rsidR="00DB0C1A" w:rsidRPr="00DB0C1A" w:rsidRDefault="00DB0C1A" w:rsidP="00DB0C1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cs-CZ"/>
                <w14:ligatures w14:val="none"/>
              </w:rPr>
              <w:t xml:space="preserve">Celkem 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3F0FCD0C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369 164,0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C3A1BFA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395 658,0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noWrap/>
            <w:vAlign w:val="bottom"/>
            <w:hideMark/>
          </w:tcPr>
          <w:p w14:paraId="3C501EC3" w14:textId="77777777" w:rsidR="00DB0C1A" w:rsidRPr="00DB0C1A" w:rsidRDefault="00DB0C1A" w:rsidP="00DB0C1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DB0C1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370 243,9</w:t>
            </w:r>
          </w:p>
        </w:tc>
      </w:tr>
    </w:tbl>
    <w:p w14:paraId="30431940" w14:textId="77777777" w:rsidR="00F40C7D" w:rsidRDefault="00F40C7D" w:rsidP="009675CF">
      <w:pPr>
        <w:jc w:val="both"/>
      </w:pPr>
    </w:p>
    <w:p w14:paraId="20532E63" w14:textId="6F94A563" w:rsidR="007D0379" w:rsidRDefault="001304CC" w:rsidP="0045175E">
      <w:pPr>
        <w:jc w:val="both"/>
        <w:rPr>
          <w:sz w:val="22"/>
          <w:szCs w:val="22"/>
        </w:rPr>
      </w:pPr>
      <w:r>
        <w:rPr>
          <w:sz w:val="22"/>
          <w:szCs w:val="22"/>
        </w:rPr>
        <w:t>Shrnující závěr:</w:t>
      </w:r>
    </w:p>
    <w:p w14:paraId="0CFC42C0" w14:textId="7241B656" w:rsidR="0009567E" w:rsidRDefault="001304CC" w:rsidP="009675CF">
      <w:pPr>
        <w:jc w:val="both"/>
      </w:pPr>
      <w:r>
        <w:rPr>
          <w:b/>
          <w:bCs/>
          <w:sz w:val="22"/>
          <w:szCs w:val="22"/>
        </w:rPr>
        <w:t>Cílem úpravy statutu města Pardubic, respektive jeho p</w:t>
      </w:r>
      <w:r w:rsidRPr="007D0379">
        <w:rPr>
          <w:b/>
          <w:bCs/>
          <w:sz w:val="22"/>
          <w:szCs w:val="22"/>
        </w:rPr>
        <w:t>řílo</w:t>
      </w:r>
      <w:r>
        <w:rPr>
          <w:b/>
          <w:bCs/>
          <w:sz w:val="22"/>
          <w:szCs w:val="22"/>
        </w:rPr>
        <w:t>hy</w:t>
      </w:r>
      <w:r w:rsidRPr="007D0379">
        <w:rPr>
          <w:b/>
          <w:bCs/>
          <w:sz w:val="22"/>
          <w:szCs w:val="22"/>
        </w:rPr>
        <w:t xml:space="preserve"> č. 3 (odst. 2 písmena h), i) a j))</w:t>
      </w:r>
      <w:r>
        <w:rPr>
          <w:b/>
          <w:bCs/>
          <w:sz w:val="22"/>
          <w:szCs w:val="22"/>
        </w:rPr>
        <w:t xml:space="preserve"> je změna</w:t>
      </w:r>
      <w:r w:rsidRPr="007D0379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která bude garantovat,</w:t>
      </w:r>
      <w:r w:rsidRPr="007D037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že</w:t>
      </w:r>
      <w:r w:rsidRPr="007D0379">
        <w:rPr>
          <w:b/>
          <w:bCs/>
          <w:sz w:val="22"/>
          <w:szCs w:val="22"/>
        </w:rPr>
        <w:t xml:space="preserve"> celý podíl dle zákona o RUD dle školského koeficientu zůst</w:t>
      </w:r>
      <w:r>
        <w:rPr>
          <w:b/>
          <w:bCs/>
          <w:sz w:val="22"/>
          <w:szCs w:val="22"/>
        </w:rPr>
        <w:t>ane</w:t>
      </w:r>
      <w:r w:rsidRPr="007D0379">
        <w:rPr>
          <w:b/>
          <w:bCs/>
          <w:sz w:val="22"/>
          <w:szCs w:val="22"/>
        </w:rPr>
        <w:t xml:space="preserve"> plně disponibilní pro rozpočet města Pardubice a podíl na těchto predikovaných daňových příjmech mohl výhradně a plně použít zřizovatel, kterým je město Pardubice, na provoz, platy a související odvody nepedagogických pracovníků, ONIV, běžn</w:t>
      </w:r>
      <w:r>
        <w:rPr>
          <w:b/>
          <w:bCs/>
          <w:sz w:val="22"/>
          <w:szCs w:val="22"/>
        </w:rPr>
        <w:t>ou</w:t>
      </w:r>
      <w:r w:rsidRPr="007D0379">
        <w:rPr>
          <w:b/>
          <w:bCs/>
          <w:sz w:val="22"/>
          <w:szCs w:val="22"/>
        </w:rPr>
        <w:t xml:space="preserve"> údržb</w:t>
      </w:r>
      <w:r>
        <w:rPr>
          <w:b/>
          <w:bCs/>
          <w:sz w:val="22"/>
          <w:szCs w:val="22"/>
        </w:rPr>
        <w:t>u</w:t>
      </w:r>
      <w:r w:rsidRPr="007D0379">
        <w:rPr>
          <w:b/>
          <w:bCs/>
          <w:sz w:val="22"/>
          <w:szCs w:val="22"/>
        </w:rPr>
        <w:t xml:space="preserve"> a průběžn</w:t>
      </w:r>
      <w:r>
        <w:rPr>
          <w:b/>
          <w:bCs/>
          <w:sz w:val="22"/>
          <w:szCs w:val="22"/>
        </w:rPr>
        <w:t>é</w:t>
      </w:r>
      <w:r w:rsidRPr="007D0379">
        <w:rPr>
          <w:b/>
          <w:bCs/>
          <w:sz w:val="22"/>
          <w:szCs w:val="22"/>
        </w:rPr>
        <w:t xml:space="preserve"> oprav</w:t>
      </w:r>
      <w:r>
        <w:rPr>
          <w:b/>
          <w:bCs/>
          <w:sz w:val="22"/>
          <w:szCs w:val="22"/>
        </w:rPr>
        <w:t>y</w:t>
      </w:r>
      <w:r w:rsidRPr="007D0379">
        <w:rPr>
          <w:b/>
          <w:bCs/>
          <w:sz w:val="22"/>
          <w:szCs w:val="22"/>
        </w:rPr>
        <w:t xml:space="preserve"> a investic</w:t>
      </w:r>
      <w:r>
        <w:rPr>
          <w:b/>
          <w:bCs/>
          <w:sz w:val="22"/>
          <w:szCs w:val="22"/>
        </w:rPr>
        <w:t>e do</w:t>
      </w:r>
      <w:r w:rsidRPr="007D0379">
        <w:rPr>
          <w:b/>
          <w:bCs/>
          <w:sz w:val="22"/>
          <w:szCs w:val="22"/>
        </w:rPr>
        <w:t xml:space="preserve"> školského majetku, energie, teplo a odpisy majetku.</w:t>
      </w:r>
      <w:r>
        <w:rPr>
          <w:b/>
          <w:bCs/>
          <w:sz w:val="22"/>
          <w:szCs w:val="22"/>
        </w:rPr>
        <w:t xml:space="preserve"> Proto je doporučeno v této souvislosti přijmout změnu statutu bez časového odkladu již při tvorbě rozpočtu na rok 2026, neboť kompetence financování nepedagogických pracovníků a ONIV přešla výhradně a jen na zřizovatele, tedy statutární město Pardubice s účinností od 1.1.2026.</w:t>
      </w:r>
    </w:p>
    <w:sectPr w:rsidR="00095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2D6B6" w14:textId="77777777" w:rsidR="00585C87" w:rsidRDefault="00585C87" w:rsidP="007253DC">
      <w:pPr>
        <w:spacing w:after="0" w:line="240" w:lineRule="auto"/>
      </w:pPr>
      <w:r>
        <w:separator/>
      </w:r>
    </w:p>
  </w:endnote>
  <w:endnote w:type="continuationSeparator" w:id="0">
    <w:p w14:paraId="22AF66E3" w14:textId="77777777" w:rsidR="00585C87" w:rsidRDefault="00585C87" w:rsidP="00725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9885152"/>
      <w:docPartObj>
        <w:docPartGallery w:val="Page Numbers (Bottom of Page)"/>
        <w:docPartUnique/>
      </w:docPartObj>
    </w:sdtPr>
    <w:sdtContent>
      <w:p w14:paraId="2331146E" w14:textId="1656FAD3" w:rsidR="007253DC" w:rsidRDefault="007253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9AF9F7" w14:textId="77777777" w:rsidR="007253DC" w:rsidRDefault="00725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C2BC1" w14:textId="77777777" w:rsidR="00585C87" w:rsidRDefault="00585C87" w:rsidP="007253DC">
      <w:pPr>
        <w:spacing w:after="0" w:line="240" w:lineRule="auto"/>
      </w:pPr>
      <w:r>
        <w:separator/>
      </w:r>
    </w:p>
  </w:footnote>
  <w:footnote w:type="continuationSeparator" w:id="0">
    <w:p w14:paraId="59571A11" w14:textId="77777777" w:rsidR="00585C87" w:rsidRDefault="00585C87" w:rsidP="00725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67E"/>
    <w:rsid w:val="00025725"/>
    <w:rsid w:val="00046582"/>
    <w:rsid w:val="00052E8B"/>
    <w:rsid w:val="00087223"/>
    <w:rsid w:val="0009567E"/>
    <w:rsid w:val="000A7490"/>
    <w:rsid w:val="000E0C5A"/>
    <w:rsid w:val="000E7ECD"/>
    <w:rsid w:val="000F654C"/>
    <w:rsid w:val="001304CC"/>
    <w:rsid w:val="00145CD7"/>
    <w:rsid w:val="0015787D"/>
    <w:rsid w:val="00167A9E"/>
    <w:rsid w:val="00173FCB"/>
    <w:rsid w:val="001A65C2"/>
    <w:rsid w:val="001F6239"/>
    <w:rsid w:val="00220A53"/>
    <w:rsid w:val="00232FC1"/>
    <w:rsid w:val="00235C2C"/>
    <w:rsid w:val="002553F0"/>
    <w:rsid w:val="00261A33"/>
    <w:rsid w:val="00283CB5"/>
    <w:rsid w:val="002A15AE"/>
    <w:rsid w:val="002B768A"/>
    <w:rsid w:val="002C59A9"/>
    <w:rsid w:val="002E0075"/>
    <w:rsid w:val="002E18C8"/>
    <w:rsid w:val="002E3B3A"/>
    <w:rsid w:val="00314C82"/>
    <w:rsid w:val="00390287"/>
    <w:rsid w:val="003C1F1C"/>
    <w:rsid w:val="00402BA9"/>
    <w:rsid w:val="00405648"/>
    <w:rsid w:val="00415E3D"/>
    <w:rsid w:val="00431ED4"/>
    <w:rsid w:val="00437FBD"/>
    <w:rsid w:val="00447BAA"/>
    <w:rsid w:val="0045175E"/>
    <w:rsid w:val="00492534"/>
    <w:rsid w:val="00514925"/>
    <w:rsid w:val="00516355"/>
    <w:rsid w:val="00522D51"/>
    <w:rsid w:val="0052787A"/>
    <w:rsid w:val="00535907"/>
    <w:rsid w:val="00540740"/>
    <w:rsid w:val="005420C8"/>
    <w:rsid w:val="0054553D"/>
    <w:rsid w:val="005563DE"/>
    <w:rsid w:val="0056151C"/>
    <w:rsid w:val="00585C87"/>
    <w:rsid w:val="005934CA"/>
    <w:rsid w:val="005B5DFC"/>
    <w:rsid w:val="005C5B7C"/>
    <w:rsid w:val="00605F53"/>
    <w:rsid w:val="00683B59"/>
    <w:rsid w:val="006A61CD"/>
    <w:rsid w:val="006B2629"/>
    <w:rsid w:val="006D7787"/>
    <w:rsid w:val="007253DC"/>
    <w:rsid w:val="00740D48"/>
    <w:rsid w:val="00743ACF"/>
    <w:rsid w:val="0075045E"/>
    <w:rsid w:val="0078147A"/>
    <w:rsid w:val="007B0239"/>
    <w:rsid w:val="007D0379"/>
    <w:rsid w:val="007E5063"/>
    <w:rsid w:val="00843D7F"/>
    <w:rsid w:val="00875B93"/>
    <w:rsid w:val="008A6106"/>
    <w:rsid w:val="008D7536"/>
    <w:rsid w:val="00927567"/>
    <w:rsid w:val="0094318C"/>
    <w:rsid w:val="009675CF"/>
    <w:rsid w:val="009842EB"/>
    <w:rsid w:val="00984781"/>
    <w:rsid w:val="009A0BEC"/>
    <w:rsid w:val="00A2544B"/>
    <w:rsid w:val="00A72AE4"/>
    <w:rsid w:val="00A866E3"/>
    <w:rsid w:val="00A875DE"/>
    <w:rsid w:val="00AA51B3"/>
    <w:rsid w:val="00AB1C42"/>
    <w:rsid w:val="00AF08E6"/>
    <w:rsid w:val="00AF6089"/>
    <w:rsid w:val="00AF7D15"/>
    <w:rsid w:val="00B15495"/>
    <w:rsid w:val="00B1731F"/>
    <w:rsid w:val="00B35497"/>
    <w:rsid w:val="00B575F5"/>
    <w:rsid w:val="00B847C4"/>
    <w:rsid w:val="00B97C01"/>
    <w:rsid w:val="00BA3C86"/>
    <w:rsid w:val="00BC35A4"/>
    <w:rsid w:val="00BC7858"/>
    <w:rsid w:val="00BF4B2E"/>
    <w:rsid w:val="00C36325"/>
    <w:rsid w:val="00C63B0F"/>
    <w:rsid w:val="00C92A7F"/>
    <w:rsid w:val="00CA0E52"/>
    <w:rsid w:val="00CA1B04"/>
    <w:rsid w:val="00CB7A9F"/>
    <w:rsid w:val="00CC06DC"/>
    <w:rsid w:val="00CF6A20"/>
    <w:rsid w:val="00D17078"/>
    <w:rsid w:val="00D315BE"/>
    <w:rsid w:val="00D4320F"/>
    <w:rsid w:val="00D80059"/>
    <w:rsid w:val="00D82367"/>
    <w:rsid w:val="00DB0C1A"/>
    <w:rsid w:val="00DB1A87"/>
    <w:rsid w:val="00DC436A"/>
    <w:rsid w:val="00DE5D2F"/>
    <w:rsid w:val="00E07AA9"/>
    <w:rsid w:val="00E126BF"/>
    <w:rsid w:val="00E15EDF"/>
    <w:rsid w:val="00E54A0F"/>
    <w:rsid w:val="00E726E6"/>
    <w:rsid w:val="00EB1FDC"/>
    <w:rsid w:val="00EF1599"/>
    <w:rsid w:val="00F00511"/>
    <w:rsid w:val="00F02514"/>
    <w:rsid w:val="00F37972"/>
    <w:rsid w:val="00F40C7D"/>
    <w:rsid w:val="00F62879"/>
    <w:rsid w:val="00F71754"/>
    <w:rsid w:val="00FA50E3"/>
    <w:rsid w:val="00FC5DC5"/>
    <w:rsid w:val="00FE01AF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AADB"/>
  <w15:chartTrackingRefBased/>
  <w15:docId w15:val="{BD939A92-E72F-4A2E-8E1D-57FC6336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95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95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95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95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95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95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95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95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95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95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95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95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9567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9567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956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956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956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956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95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95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95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95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95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956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956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9567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95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9567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9567E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E54A0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4A0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2E3B3A"/>
    <w:rPr>
      <w:b/>
      <w:bCs/>
    </w:rPr>
  </w:style>
  <w:style w:type="paragraph" w:styleId="Revize">
    <w:name w:val="Revision"/>
    <w:hidden/>
    <w:uiPriority w:val="99"/>
    <w:semiHidden/>
    <w:rsid w:val="006D778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25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53DC"/>
  </w:style>
  <w:style w:type="paragraph" w:styleId="Zpat">
    <w:name w:val="footer"/>
    <w:basedOn w:val="Normln"/>
    <w:link w:val="ZpatChar"/>
    <w:uiPriority w:val="99"/>
    <w:unhideWhenUsed/>
    <w:rsid w:val="00725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5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>
                <a:solidFill>
                  <a:schemeClr val="tx2">
                    <a:lumMod val="75000"/>
                    <a:lumOff val="25000"/>
                  </a:schemeClr>
                </a:solidFill>
              </a:rPr>
              <a:t>Vývo</a:t>
            </a:r>
            <a:r>
              <a:rPr lang="cs-CZ" sz="1200">
                <a:solidFill>
                  <a:schemeClr val="tx2">
                    <a:lumMod val="75000"/>
                    <a:lumOff val="25000"/>
                  </a:schemeClr>
                </a:solidFill>
              </a:rPr>
              <a:t>j příjmů městských obvodů </a:t>
            </a:r>
          </a:p>
          <a:p>
            <a:pPr>
              <a:defRPr/>
            </a:pPr>
            <a:r>
              <a:rPr lang="cs-CZ" sz="1200">
                <a:solidFill>
                  <a:schemeClr val="tx2">
                    <a:lumMod val="75000"/>
                    <a:lumOff val="25000"/>
                  </a:schemeClr>
                </a:solidFill>
              </a:rPr>
              <a:t>(podíly</a:t>
            </a:r>
            <a:r>
              <a:rPr lang="cs-CZ" sz="1200" baseline="0">
                <a:solidFill>
                  <a:schemeClr val="tx2">
                    <a:lumMod val="75000"/>
                    <a:lumOff val="25000"/>
                  </a:schemeClr>
                </a:solidFill>
              </a:rPr>
              <a:t> na</a:t>
            </a:r>
            <a:r>
              <a:rPr lang="cs-CZ" sz="1200">
                <a:solidFill>
                  <a:schemeClr val="tx2">
                    <a:lumMod val="75000"/>
                    <a:lumOff val="25000"/>
                  </a:schemeClr>
                </a:solidFill>
              </a:rPr>
              <a:t> výnosech</a:t>
            </a:r>
            <a:r>
              <a:rPr lang="cs-CZ" sz="1200" baseline="0">
                <a:solidFill>
                  <a:schemeClr val="tx2">
                    <a:lumMod val="75000"/>
                    <a:lumOff val="25000"/>
                  </a:schemeClr>
                </a:solidFill>
              </a:rPr>
              <a:t> daní) </a:t>
            </a:r>
          </a:p>
          <a:p>
            <a:pPr>
              <a:defRPr/>
            </a:pPr>
            <a:r>
              <a:rPr lang="cs-CZ" sz="1200" baseline="0">
                <a:solidFill>
                  <a:schemeClr val="tx2">
                    <a:lumMod val="75000"/>
                    <a:lumOff val="25000"/>
                  </a:schemeClr>
                </a:solidFill>
              </a:rPr>
              <a:t>v letech 2021 až 2025</a:t>
            </a:r>
            <a:endParaRPr lang="en-US" sz="1200">
              <a:solidFill>
                <a:schemeClr val="tx2">
                  <a:lumMod val="75000"/>
                  <a:lumOff val="25000"/>
                </a:scheme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2D7-4399-9523-7A344BF1257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D7-4399-9523-7A344BF1257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2D7-4399-9523-7A344BF1257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D7-4399-9523-7A344BF12571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predikce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92D7-4399-9523-7A344BF125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List1!$C$5:$G$5</c:f>
              <c:numCache>
                <c:formatCode>General</c:formatCod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</c:numCache>
            </c:numRef>
          </c:cat>
          <c:val>
            <c:numRef>
              <c:f>List1!$C$15:$G$15</c:f>
              <c:numCache>
                <c:formatCode>#,##0</c:formatCode>
                <c:ptCount val="5"/>
                <c:pt idx="0">
                  <c:v>273559.63299999997</c:v>
                </c:pt>
                <c:pt idx="1">
                  <c:v>307700.69799999997</c:v>
                </c:pt>
                <c:pt idx="2">
                  <c:v>354907.65500000003</c:v>
                </c:pt>
                <c:pt idx="3">
                  <c:v>369164.02399999998</c:v>
                </c:pt>
                <c:pt idx="4">
                  <c:v>395658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2D7-4399-9523-7A344BF1257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951504752"/>
        <c:axId val="772491776"/>
      </c:barChart>
      <c:catAx>
        <c:axId val="95150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72491776"/>
        <c:crosses val="autoZero"/>
        <c:auto val="1"/>
        <c:lblAlgn val="ctr"/>
        <c:lblOffset val="100"/>
        <c:noMultiLvlLbl val="0"/>
      </c:catAx>
      <c:valAx>
        <c:axId val="772491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v tis.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51504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1339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Filipová Dagmar</dc:creator>
  <cp:keywords/>
  <dc:description/>
  <cp:lastModifiedBy>Rychtecký Jakub</cp:lastModifiedBy>
  <cp:revision>3</cp:revision>
  <cp:lastPrinted>2025-11-05T11:50:00Z</cp:lastPrinted>
  <dcterms:created xsi:type="dcterms:W3CDTF">2025-11-10T16:12:00Z</dcterms:created>
  <dcterms:modified xsi:type="dcterms:W3CDTF">2025-11-10T16:12:00Z</dcterms:modified>
</cp:coreProperties>
</file>